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6D5A" w14:textId="77777777" w:rsidR="005F109F" w:rsidRDefault="00D5002C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2D2CFED2" w14:textId="77777777" w:rsidR="005F109F" w:rsidRDefault="00D5002C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 г.</w:t>
      </w:r>
    </w:p>
    <w:p w14:paraId="3238920F" w14:textId="77777777" w:rsidR="005F109F" w:rsidRDefault="005F109F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482623" w14:textId="77777777" w:rsidR="005F109F" w:rsidRDefault="00D5002C">
      <w:pPr>
        <w:widowControl w:val="0"/>
        <w:suppressAutoHyphens/>
        <w:spacing w:after="0" w:line="240" w:lineRule="auto"/>
        <w:ind w:left="10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МЕДИЦИНСКОГО ОБСЛУЖИВАНИЯ «ДОЧКИ-СЫНОЧКИ» 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(дети от 1 года до 3-х лет)</w:t>
      </w:r>
    </w:p>
    <w:p w14:paraId="4DEBDAA4" w14:textId="77777777" w:rsidR="005F109F" w:rsidRDefault="005F109F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2F9BD1" w14:textId="3C5523FF" w:rsidR="005F109F" w:rsidRDefault="00D5002C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удаленностью до 15 км от МКАД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79 000 рублей </w:t>
      </w:r>
    </w:p>
    <w:p w14:paraId="7979A3BF" w14:textId="77777777" w:rsidR="005F109F" w:rsidRDefault="005F109F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8BDC49" w14:textId="77777777" w:rsidR="005F109F" w:rsidRDefault="00D5002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728EA6C5" w14:textId="77777777" w:rsidR="005F109F" w:rsidRDefault="00D5002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65A0D3FE" w14:textId="77777777" w:rsidR="005F109F" w:rsidRDefault="005F109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5F109F" w14:paraId="25940AD7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19E00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40F8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F109F" w14:paraId="49B4C8F2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9C0B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3157" w14:textId="77777777" w:rsidR="005F109F" w:rsidRDefault="00D500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378DCCCC" w14:textId="77777777" w:rsidR="005F109F" w:rsidRDefault="005F109F">
      <w:pPr>
        <w:suppressAutoHyphens/>
        <w:spacing w:after="0" w:line="240" w:lineRule="auto"/>
        <w:jc w:val="both"/>
      </w:pPr>
      <w:bookmarkStart w:id="0" w:name="_Hlk49345334"/>
      <w:bookmarkEnd w:id="0"/>
    </w:p>
    <w:p w14:paraId="55F682A1" w14:textId="77777777" w:rsidR="005F109F" w:rsidRDefault="005F109F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E3021" w14:textId="77777777" w:rsidR="005F109F" w:rsidRDefault="00D5002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6E89536D" w14:textId="77777777" w:rsidR="005F109F" w:rsidRDefault="00D50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Обслуживание пациентов проводится при острых заболеваниях или при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5527D1A" w14:textId="77777777" w:rsidR="005F109F" w:rsidRDefault="005F109F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615B3" w14:textId="77777777" w:rsidR="005F109F" w:rsidRPr="00D5002C" w:rsidRDefault="00D5002C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lang w:val="ru-RU"/>
        </w:rPr>
      </w:pPr>
      <w:r>
        <w:rPr>
          <w:szCs w:val="24"/>
          <w:lang w:val="ru-RU"/>
        </w:rPr>
        <w:t xml:space="preserve">АМБУЛАТОРНО-ПОЛИКЛИНИЧЕСКАЯ ПОМОЩЬ В ПОЛИКЛИНИКЕ ОКАЗЫВАЕТСЯ ТОЛЬКО ПО </w:t>
      </w:r>
      <w:r>
        <w:rPr>
          <w:szCs w:val="24"/>
          <w:lang w:val="ru-RU"/>
        </w:rPr>
        <w:t>НАЗНАЧЕНИЮ ВРАЧА:</w:t>
      </w:r>
    </w:p>
    <w:p w14:paraId="60CB6A43" w14:textId="77777777" w:rsidR="005F109F" w:rsidRDefault="00D5002C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76B87E4E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10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</w:t>
      </w:r>
      <w:r>
        <w:rPr>
          <w:rFonts w:ascii="Times New Roman" w:hAnsi="Times New Roman" w:cs="Times New Roman"/>
          <w:kern w:val="2"/>
          <w:sz w:val="24"/>
          <w:szCs w:val="24"/>
        </w:rPr>
        <w:t>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25ABE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06EFEDCA" w14:textId="77777777" w:rsidR="005F109F" w:rsidRDefault="00D5002C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</w:t>
      </w:r>
      <w:r>
        <w:rPr>
          <w:rFonts w:ascii="Times New Roman" w:hAnsi="Times New Roman" w:cs="Times New Roman"/>
          <w:kern w:val="2"/>
          <w:sz w:val="24"/>
          <w:szCs w:val="24"/>
        </w:rPr>
        <w:t>томатолога – однократно за период прикрепления.</w:t>
      </w:r>
    </w:p>
    <w:p w14:paraId="3D820BCA" w14:textId="77777777" w:rsidR="005F109F" w:rsidRDefault="00D5002C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лочку дифтерии, на стрептококк группы A, исследование ректального мазка(фекалий)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колипатогенную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410B2112" w14:textId="77777777" w:rsidR="005F109F" w:rsidRDefault="00D5002C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 – до 2 раз за период</w:t>
      </w:r>
      <w:r>
        <w:rPr>
          <w:rFonts w:ascii="Times New Roman" w:hAnsi="Times New Roman" w:cs="Times New Roman"/>
          <w:sz w:val="24"/>
          <w:szCs w:val="24"/>
        </w:rPr>
        <w:t xml:space="preserve"> прикрепления; ЭХО-КГ – однократно.</w:t>
      </w:r>
    </w:p>
    <w:p w14:paraId="63007D76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24DA147A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>суммарно</w:t>
      </w:r>
      <w:r>
        <w:rPr>
          <w:rFonts w:ascii="Times New Roman" w:hAnsi="Times New Roman" w:cs="Times New Roman"/>
          <w:sz w:val="24"/>
          <w:szCs w:val="24"/>
        </w:rPr>
        <w:t xml:space="preserve">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5D50426B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6B10E241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>Экспертиза трудоспособности, выдача листков нетрудос</w:t>
      </w:r>
      <w:r>
        <w:rPr>
          <w:rFonts w:ascii="Times New Roman" w:hAnsi="Times New Roman" w:cs="Times New Roman"/>
          <w:sz w:val="24"/>
          <w:szCs w:val="24"/>
        </w:rPr>
        <w:t>пособности (Законному представителю по уходу за больным Пациентом), 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</w:t>
      </w:r>
      <w:r>
        <w:rPr>
          <w:rFonts w:ascii="Times New Roman" w:hAnsi="Times New Roman" w:cs="Times New Roman"/>
          <w:sz w:val="24"/>
          <w:szCs w:val="24"/>
        </w:rPr>
        <w:t>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01C4BA39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328D1AE" w14:textId="77777777" w:rsidR="005F109F" w:rsidRDefault="00D5002C">
      <w:pPr>
        <w:pStyle w:val="af2"/>
        <w:widowControl w:val="0"/>
        <w:numPr>
          <w:ilvl w:val="0"/>
          <w:numId w:val="3"/>
        </w:numPr>
        <w:overflowPunct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0000EA2B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</w:t>
      </w:r>
      <w:r>
        <w:rPr>
          <w:rFonts w:ascii="Times New Roman" w:hAnsi="Times New Roman" w:cs="Times New Roman"/>
          <w:b/>
          <w:bCs/>
          <w:sz w:val="24"/>
          <w:szCs w:val="24"/>
        </w:rPr>
        <w:t>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</w:t>
      </w:r>
      <w:r>
        <w:rPr>
          <w:rFonts w:ascii="Times New Roman" w:hAnsi="Times New Roman" w:cs="Times New Roman"/>
          <w:sz w:val="24"/>
          <w:szCs w:val="24"/>
        </w:rPr>
        <w:t xml:space="preserve">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3E2411AB" w14:textId="77777777" w:rsidR="005F109F" w:rsidRDefault="005F10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6A0BF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4711758F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3D7D54E" w14:textId="77777777" w:rsidR="005F109F" w:rsidRDefault="00D5002C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3. ПЛАНОВЫЕ 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ПРОФИЛАКТИЧЕСКИЕ МЕРОПРИЯТИЯ:</w:t>
      </w:r>
    </w:p>
    <w:p w14:paraId="0A1EC976" w14:textId="77777777" w:rsidR="005F109F" w:rsidRDefault="00D5002C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A236937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B884969" w14:textId="77777777" w:rsidR="005F109F" w:rsidRDefault="00D5002C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5675003C" w14:textId="77777777" w:rsidR="005F109F" w:rsidRDefault="005F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2"/>
        <w:gridCol w:w="1940"/>
        <w:gridCol w:w="2493"/>
        <w:gridCol w:w="2200"/>
      </w:tblGrid>
      <w:tr w:rsidR="005F109F" w14:paraId="444692A6" w14:textId="77777777">
        <w:tc>
          <w:tcPr>
            <w:tcW w:w="2711" w:type="dxa"/>
            <w:shd w:val="clear" w:color="auto" w:fill="auto"/>
          </w:tcPr>
          <w:p w14:paraId="6196D563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72851DC4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3" w:type="dxa"/>
            <w:shd w:val="clear" w:color="auto" w:fill="auto"/>
          </w:tcPr>
          <w:p w14:paraId="77D3CA22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12FE63C7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F109F" w14:paraId="4E197496" w14:textId="77777777">
        <w:tc>
          <w:tcPr>
            <w:tcW w:w="2711" w:type="dxa"/>
            <w:shd w:val="clear" w:color="auto" w:fill="auto"/>
          </w:tcPr>
          <w:p w14:paraId="6274BD79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3395BCA0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12720EA9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3CA91647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мочи,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DC87411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F109F" w14:paraId="582936E9" w14:textId="77777777">
        <w:tc>
          <w:tcPr>
            <w:tcW w:w="2711" w:type="dxa"/>
            <w:shd w:val="clear" w:color="auto" w:fill="auto"/>
          </w:tcPr>
          <w:p w14:paraId="419A721D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5D189149" w14:textId="77777777" w:rsidR="005F109F" w:rsidRDefault="005F1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73B1" w14:textId="77777777" w:rsidR="005F109F" w:rsidRDefault="00D500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3" w:type="dxa"/>
            <w:shd w:val="clear" w:color="auto" w:fill="auto"/>
          </w:tcPr>
          <w:p w14:paraId="6484FC6E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5CD4EB77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6F5A1675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6E1C8BB9" w14:textId="77777777" w:rsidR="005F109F" w:rsidRDefault="00D500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402C687A" w14:textId="77777777" w:rsidR="005F109F" w:rsidRDefault="005F109F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0F660" w14:textId="77777777" w:rsidR="005F109F" w:rsidRDefault="005F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8837C" w14:textId="77777777" w:rsidR="005F109F" w:rsidRDefault="00D5002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4809183F" w14:textId="77777777" w:rsidR="005F109F" w:rsidRDefault="005F1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5F109F" w14:paraId="2F866F25" w14:textId="77777777">
        <w:tc>
          <w:tcPr>
            <w:tcW w:w="3119" w:type="dxa"/>
            <w:shd w:val="clear" w:color="auto" w:fill="auto"/>
          </w:tcPr>
          <w:p w14:paraId="1FF3FE75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6E75929C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5F109F" w14:paraId="19EA2D89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5362BDAD" w14:textId="77777777" w:rsidR="005F109F" w:rsidRDefault="00D5002C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0E136A85" w14:textId="77777777" w:rsidR="005F109F" w:rsidRDefault="00D50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5F109F" w14:paraId="74C840EC" w14:textId="77777777">
        <w:tc>
          <w:tcPr>
            <w:tcW w:w="3119" w:type="dxa"/>
            <w:shd w:val="clear" w:color="auto" w:fill="auto"/>
          </w:tcPr>
          <w:p w14:paraId="47E1A39B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364E4C0C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5F109F" w14:paraId="2FECFBF4" w14:textId="77777777">
        <w:tc>
          <w:tcPr>
            <w:tcW w:w="3119" w:type="dxa"/>
            <w:shd w:val="clear" w:color="auto" w:fill="auto"/>
          </w:tcPr>
          <w:p w14:paraId="416F9266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lastRenderedPageBreak/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705025D9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4DC8EB05" w14:textId="77777777" w:rsidR="005F109F" w:rsidRDefault="005F1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109F" w14:paraId="657BEC17" w14:textId="77777777">
        <w:tc>
          <w:tcPr>
            <w:tcW w:w="3119" w:type="dxa"/>
            <w:shd w:val="clear" w:color="auto" w:fill="auto"/>
          </w:tcPr>
          <w:p w14:paraId="318A9104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2BEA03F9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4BA71FCD" w14:textId="77777777" w:rsidR="005F109F" w:rsidRDefault="005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9F" w14:paraId="0776A3A1" w14:textId="77777777">
        <w:tc>
          <w:tcPr>
            <w:tcW w:w="3119" w:type="dxa"/>
            <w:shd w:val="clear" w:color="auto" w:fill="auto"/>
          </w:tcPr>
          <w:p w14:paraId="5E1D086B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1AD8D773" w14:textId="77777777" w:rsidR="005F109F" w:rsidRDefault="005F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0BCE23CF" w14:textId="77777777" w:rsidR="005F109F" w:rsidRDefault="00D500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E40652E" w14:textId="77777777" w:rsidR="005F109F" w:rsidRDefault="005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09F" w14:paraId="60952235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6D700C29" w14:textId="77777777" w:rsidR="005F109F" w:rsidRDefault="00D5002C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7E8F7554" w14:textId="77777777" w:rsidR="005F109F" w:rsidRDefault="00D500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544E2D7C" w14:textId="77777777" w:rsidR="005F109F" w:rsidRDefault="005F109F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3CCE8" w14:textId="77777777" w:rsidR="005F109F" w:rsidRDefault="00D5002C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1C48B879" w14:textId="77777777" w:rsidR="005F109F" w:rsidRDefault="00D500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2CD9CBC8" w14:textId="77777777" w:rsidR="005F109F" w:rsidRDefault="00D5002C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3A6B789F" w14:textId="77777777" w:rsidR="005F109F" w:rsidRDefault="00D500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47FF31BF" w14:textId="77777777" w:rsidR="005F109F" w:rsidRDefault="00D5002C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</w:t>
      </w:r>
      <w:r>
        <w:rPr>
          <w:rFonts w:ascii="Times New Roman" w:hAnsi="Times New Roman" w:cs="Times New Roman"/>
          <w:b/>
          <w:bCs/>
          <w:sz w:val="24"/>
          <w:szCs w:val="24"/>
        </w:rPr>
        <w:t>ОЧКИ» СТАНДАРТ ДЛЯ ДЕТЕЙ В ВОЗРАСТЕ ОТ 1 ДО 3 ЛЕТ:</w:t>
      </w:r>
    </w:p>
    <w:p w14:paraId="242438E4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1CA747C4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основах охраны здоровья граждан </w:t>
      </w:r>
      <w:r>
        <w:rPr>
          <w:rFonts w:ascii="Times New Roman" w:hAnsi="Times New Roman" w:cs="Times New Roman"/>
          <w:sz w:val="24"/>
          <w:szCs w:val="24"/>
        </w:rPr>
        <w:t>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5878E1E0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Медицинские услуги оказываются </w:t>
      </w:r>
      <w:r>
        <w:rPr>
          <w:rFonts w:ascii="Times New Roman" w:hAnsi="Times New Roman" w:cs="Times New Roman"/>
          <w:sz w:val="24"/>
          <w:szCs w:val="24"/>
        </w:rPr>
        <w:t>в соответствии с режимом работы Поликлиники с 8.00 до 22.00 без выходных.</w:t>
      </w:r>
    </w:p>
    <w:p w14:paraId="307E26A4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729D3A5E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 xml:space="preserve">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D50B5B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4C21686A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</w:t>
      </w:r>
      <w:r>
        <w:rPr>
          <w:rFonts w:ascii="Times New Roman" w:hAnsi="Times New Roman" w:cs="Times New Roman"/>
          <w:sz w:val="24"/>
          <w:szCs w:val="24"/>
        </w:rPr>
        <w:t xml:space="preserve"> 21:00.</w:t>
      </w:r>
    </w:p>
    <w:p w14:paraId="38AF99DA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43AE16E3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8B0E260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</w:t>
      </w:r>
      <w:r>
        <w:rPr>
          <w:rFonts w:ascii="Times New Roman" w:hAnsi="Times New Roman" w:cs="Times New Roman"/>
          <w:sz w:val="24"/>
          <w:szCs w:val="24"/>
        </w:rPr>
        <w:t>ивание на дому осуществляется врачом - педиатром или дежурным педиатром.</w:t>
      </w:r>
    </w:p>
    <w:p w14:paraId="04E94389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03D09D44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неявке Пациента на плановый прием без </w:t>
      </w:r>
      <w:r>
        <w:rPr>
          <w:rFonts w:ascii="Times New Roman" w:hAnsi="Times New Roman" w:cs="Times New Roman"/>
          <w:sz w:val="24"/>
          <w:szCs w:val="24"/>
        </w:rPr>
        <w:t>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52DD98B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7AFFB143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</w:t>
      </w:r>
      <w:r>
        <w:rPr>
          <w:color w:val="auto"/>
          <w:szCs w:val="24"/>
        </w:rPr>
        <w:t>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3E405CA3" w14:textId="77777777" w:rsidR="005F109F" w:rsidRDefault="00D5002C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 врача - педиатра.</w:t>
      </w:r>
    </w:p>
    <w:p w14:paraId="462EB873" w14:textId="77777777" w:rsidR="005F109F" w:rsidRDefault="00D5002C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0966E873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</w:t>
      </w:r>
      <w:r>
        <w:rPr>
          <w:color w:val="auto"/>
          <w:szCs w:val="24"/>
        </w:rPr>
        <w:t>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</w:t>
      </w:r>
      <w:r>
        <w:rPr>
          <w:color w:val="auto"/>
          <w:szCs w:val="24"/>
        </w:rPr>
        <w:t>ации, анализы) или при наличии противопоказаний к их проведению.</w:t>
      </w:r>
    </w:p>
    <w:p w14:paraId="4BF040FE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5AFA3979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</w:t>
      </w:r>
      <w:r>
        <w:rPr>
          <w:bCs/>
          <w:color w:val="auto"/>
          <w:szCs w:val="24"/>
        </w:rPr>
        <w:t>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</w:t>
      </w:r>
      <w:r>
        <w:rPr>
          <w:bCs/>
          <w:color w:val="auto"/>
          <w:szCs w:val="24"/>
        </w:rPr>
        <w:t>ведения диспансерных мероприятий.</w:t>
      </w:r>
    </w:p>
    <w:p w14:paraId="4C7BB1B2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</w:t>
      </w:r>
      <w:r>
        <w:rPr>
          <w:bCs/>
          <w:color w:val="auto"/>
          <w:szCs w:val="24"/>
        </w:rPr>
        <w:t xml:space="preserve">и с индивидуальным состоянием здоровья Пациента. </w:t>
      </w:r>
    </w:p>
    <w:p w14:paraId="405CD23B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</w:t>
      </w:r>
      <w:r>
        <w:rPr>
          <w:color w:val="auto"/>
          <w:szCs w:val="24"/>
        </w:rPr>
        <w:t>инского обслуживания от 0 месяцев до 1 года).</w:t>
      </w:r>
    </w:p>
    <w:p w14:paraId="43F9EFBC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666ED204" w14:textId="77777777" w:rsidR="005F109F" w:rsidRDefault="00D5002C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447BD1AC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</w:t>
      </w:r>
      <w:r>
        <w:rPr>
          <w:color w:val="auto"/>
          <w:szCs w:val="24"/>
        </w:rPr>
        <w:t>ктной форме.</w:t>
      </w:r>
    </w:p>
    <w:p w14:paraId="5D2794BD" w14:textId="77777777" w:rsidR="005F109F" w:rsidRDefault="00D5002C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</w:t>
      </w:r>
      <w:r>
        <w:rPr>
          <w:color w:val="auto"/>
          <w:szCs w:val="24"/>
        </w:rPr>
        <w:t>и-консультантами).</w:t>
      </w:r>
    </w:p>
    <w:p w14:paraId="52820E05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6260BD37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447DA4C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38E5DFD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</w:t>
      </w:r>
      <w:r>
        <w:rPr>
          <w:rFonts w:ascii="Times New Roman" w:hAnsi="Times New Roman" w:cs="Times New Roman"/>
          <w:sz w:val="24"/>
          <w:szCs w:val="24"/>
        </w:rPr>
        <w:t xml:space="preserve">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47B89E95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</w:t>
      </w:r>
      <w:r>
        <w:rPr>
          <w:rFonts w:ascii="Times New Roman" w:hAnsi="Times New Roman" w:cs="Times New Roman"/>
          <w:sz w:val="24"/>
          <w:szCs w:val="24"/>
        </w:rPr>
        <w:t>дения и клинико-лабораторного контроля.</w:t>
      </w:r>
    </w:p>
    <w:p w14:paraId="10A894A5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2E5B419A" w14:textId="77777777" w:rsidR="005F109F" w:rsidRDefault="00D5002C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7DF08B9B" w14:textId="77777777" w:rsidR="005F109F" w:rsidRDefault="00D5002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>
        <w:rPr>
          <w:rFonts w:ascii="Times New Roman" w:hAnsi="Times New Roman" w:cs="Times New Roman"/>
          <w:sz w:val="24"/>
          <w:szCs w:val="24"/>
        </w:rPr>
        <w:t>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1028B146" w14:textId="77777777" w:rsidR="005F109F" w:rsidRDefault="00D5002C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</w:t>
      </w:r>
      <w:r>
        <w:rPr>
          <w:rFonts w:ascii="Times New Roman" w:hAnsi="Times New Roman" w:cs="Times New Roman"/>
          <w:sz w:val="24"/>
          <w:szCs w:val="24"/>
        </w:rPr>
        <w:t xml:space="preserve">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04257691" w14:textId="77777777" w:rsidR="005F109F" w:rsidRDefault="005F109F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424BA1" w14:textId="77777777" w:rsidR="005F109F" w:rsidRDefault="00D5002C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ОБСЛУЖИВАНИЯ: </w:t>
      </w:r>
    </w:p>
    <w:p w14:paraId="065C26C0" w14:textId="77777777" w:rsidR="005F109F" w:rsidRDefault="00D5002C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18473D43" w14:textId="77777777" w:rsidR="005F109F" w:rsidRDefault="00D5002C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0005FEF2" w14:textId="77777777" w:rsidR="005F109F" w:rsidRDefault="00D5002C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11247F5" w14:textId="77777777" w:rsidR="005F109F" w:rsidRDefault="00D5002C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5. ПРОГРАММОЙ НЕ ОПЛАЧИВАЮТСЯ СЛЕДУЮЩИЕ </w:t>
      </w:r>
      <w:r>
        <w:rPr>
          <w:rFonts w:ascii="Times New Roman" w:eastAsia="Arial Unicode MS" w:hAnsi="Times New Roman"/>
          <w:b/>
          <w:bCs/>
          <w:sz w:val="24"/>
          <w:szCs w:val="24"/>
        </w:rPr>
        <w:t>МЕДИЦИНСКИЕ УСЛУГИ:</w:t>
      </w:r>
    </w:p>
    <w:p w14:paraId="355F44C4" w14:textId="77777777" w:rsidR="005F109F" w:rsidRDefault="00D5002C">
      <w:pPr>
        <w:pStyle w:val="af2"/>
        <w:widowControl w:val="0"/>
        <w:overflowPunct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22DDF4A1" w14:textId="77777777" w:rsidR="005F109F" w:rsidRDefault="005F109F">
      <w:pPr>
        <w:pStyle w:val="af2"/>
        <w:widowControl w:val="0"/>
        <w:overflowPunct/>
        <w:ind w:left="360"/>
        <w:jc w:val="both"/>
        <w:rPr>
          <w:sz w:val="22"/>
          <w:szCs w:val="22"/>
          <w:lang w:val="ru-RU"/>
        </w:rPr>
      </w:pPr>
    </w:p>
    <w:p w14:paraId="37FE9017" w14:textId="77777777" w:rsidR="005F109F" w:rsidRDefault="00D5002C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5.1. Медицинские услуги, проводимые без медицинских показаний (по желанию пациента) или вне обострения хрон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3BEAA6C3" w14:textId="77777777" w:rsidR="005F109F" w:rsidRDefault="00D5002C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340C499A" w14:textId="77777777" w:rsidR="005F109F" w:rsidRDefault="00D5002C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5.3.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56706CB7" w14:textId="77777777" w:rsidR="005F109F" w:rsidRDefault="005F10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3207852B" w14:textId="77777777" w:rsidR="005F109F" w:rsidRDefault="00D5002C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658C908B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Злокачественные новообразования всех органов и тканей (включая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доброкачественные новообразования.</w:t>
      </w:r>
    </w:p>
    <w:p w14:paraId="5C92211A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6D0CBEE8" w14:textId="77777777" w:rsidR="005F109F" w:rsidRDefault="00D5002C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дегенеративные заболевания нервной системы; болезнь Паркинсона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1D04A9AB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5.7. 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EDC170" w14:textId="77777777" w:rsidR="005F109F" w:rsidRDefault="00D5002C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Системные поражения соединительной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7A22C7FD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35F411A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5.10. Особо опасные инфекционные болезни (натуральная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8515698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иммунодефицита (СПИД).</w:t>
      </w:r>
    </w:p>
    <w:p w14:paraId="0373B806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9677781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5.13. 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160419D" w14:textId="77777777" w:rsidR="005F109F" w:rsidRDefault="00D5002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УЖЕСТВЕННОГО ДВИЖЕНИЯ ГЛАЗ, АККОМОДАЦИИ И РЕФРАКЦИИ (косоглазие и прочие); нистагм.</w:t>
      </w:r>
    </w:p>
    <w:p w14:paraId="44C2154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тугоухость и другие потери слуха.</w:t>
      </w:r>
    </w:p>
    <w:p w14:paraId="64B623B2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искусственного водителя ритма и их осложнения.</w:t>
      </w:r>
    </w:p>
    <w:p w14:paraId="3A844FA3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00EFF03E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5.17. Поверхностные и глубокие микозы,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онихомикоз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E02DB4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26460831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67B50ED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28061CF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0D90FD68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0E562692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5.23. Заболевания, лечение которых требует трансплантации, имплантации, протезирования органов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тканей.</w:t>
      </w:r>
    </w:p>
    <w:p w14:paraId="1A1273D3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50F235C0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704E741" w14:textId="77777777" w:rsidR="005F109F" w:rsidRDefault="00D5002C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5.26. Вальгусная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1228A705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3C9C2EC7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состояния, требующие наблюдения и лечения в условиях профильных ЛПУ;</w:t>
      </w:r>
    </w:p>
    <w:p w14:paraId="4EBB5877" w14:textId="77777777" w:rsidR="005F109F" w:rsidRDefault="00D5002C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5.28. 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подготовки посыльного листа во ВТЭК или МСЭ;</w:t>
      </w:r>
    </w:p>
    <w:p w14:paraId="043DB4B6" w14:textId="77777777" w:rsidR="005F109F" w:rsidRDefault="005F1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E4A57AC" w14:textId="77777777" w:rsidR="005F109F" w:rsidRDefault="00D5002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15124C1C" w14:textId="77777777" w:rsidR="005F109F" w:rsidRDefault="005F109F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9FE93DA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ренные программой.</w:t>
      </w:r>
    </w:p>
    <w:p w14:paraId="367B0F8D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A1069B8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липомы, вросший ноготь, выпадение волос и т.д.);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склеротерапия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варикозной болез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 вен; коррекция веса; коррекция речи.</w:t>
      </w:r>
    </w:p>
    <w:p w14:paraId="52B474FC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6FF8C9C6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5.41. Методы диагностики и лечения, относящиеся к традиционной, аль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ия к применению.</w:t>
      </w:r>
    </w:p>
    <w:p w14:paraId="3661B627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D95CE82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5.43. Экстракорпоральные методы лечения: гемодиализ,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плазмоферез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гемосорбция,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гемофильтрация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ультрафиолетовое и лазерное облучение крови, озони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рование и др.</w:t>
      </w:r>
    </w:p>
    <w:p w14:paraId="572030FC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роколонотерапия; тренажеры; солярий; бассейн; сауна; мануальная терапия; рефлексотерапия, ударно-волновая терапия.</w:t>
      </w:r>
    </w:p>
    <w:p w14:paraId="090412A2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7C4B9795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5.46. 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7B031AF3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цией зрения.</w:t>
      </w:r>
    </w:p>
    <w:p w14:paraId="412DC4CD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3E3D54D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267AA2DF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5.50. 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49C70BD2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41D43B7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21BBA7D0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3721926E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DFB64D3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5057A47B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5.56. Дорогостоящие расходные материалы, требующиеся при оказании медицинских услуг (протезы, эндопротезы, имплантаты,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гигиены.</w:t>
      </w:r>
    </w:p>
    <w:p w14:paraId="4D4DD481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3DDE4031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прохождением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медико-социальной экспертизы; услуги, связанные с оформлением санаторно-курортных карт.</w:t>
      </w:r>
    </w:p>
    <w:p w14:paraId="12515DC9" w14:textId="77777777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687B485" w14:textId="2952B066" w:rsidR="005F109F" w:rsidRDefault="00D5002C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0.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2F253D9D" w14:textId="77777777" w:rsidR="005F109F" w:rsidRDefault="005F1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98E12" w14:textId="77777777" w:rsidR="005F109F" w:rsidRDefault="005F109F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109F" w14:paraId="578E0F41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8C20CE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11D357A1" w14:textId="77777777" w:rsidR="005F109F" w:rsidRDefault="005F1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57854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D500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Сумина Е.Ю.</w:t>
            </w:r>
          </w:p>
          <w:p w14:paraId="5F761B3C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BC37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7DE467A3" w14:textId="77777777" w:rsidR="005F109F" w:rsidRDefault="005F1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8DA5E" w14:textId="77777777" w:rsidR="005F109F" w:rsidRDefault="00D50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FEC18E9" w14:textId="77777777" w:rsidR="005F109F" w:rsidRDefault="005F109F">
      <w:pPr>
        <w:spacing w:after="0" w:line="240" w:lineRule="auto"/>
      </w:pPr>
    </w:p>
    <w:sectPr w:rsidR="005F10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183"/>
    <w:multiLevelType w:val="multilevel"/>
    <w:tmpl w:val="C4A0E9A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7EB0"/>
    <w:multiLevelType w:val="multilevel"/>
    <w:tmpl w:val="181EB240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57535D20"/>
    <w:multiLevelType w:val="multilevel"/>
    <w:tmpl w:val="C9844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54F2483"/>
    <w:multiLevelType w:val="multilevel"/>
    <w:tmpl w:val="FA94A1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9F"/>
    <w:rsid w:val="005F109F"/>
    <w:rsid w:val="00D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3AED"/>
  <w15:docId w15:val="{78EAAE76-9B30-4428-86D3-8391798B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300">
    <w:name w:val="ListLabel 300"/>
    <w:qFormat/>
    <w:rPr>
      <w:b/>
      <w:bCs/>
      <w:sz w:val="24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ascii="Times New Roman" w:hAnsi="Times New Roman"/>
      <w:b/>
      <w:sz w:val="24"/>
      <w:lang w:val="x-none"/>
    </w:rPr>
  </w:style>
  <w:style w:type="character" w:customStyle="1" w:styleId="ListLabel303">
    <w:name w:val="ListLabel 3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304">
    <w:name w:val="ListLabel 304"/>
    <w:qFormat/>
    <w:rPr>
      <w:rFonts w:ascii="Times New Roman" w:hAnsi="Times New Roman" w:cs="Wingdings"/>
      <w:b/>
      <w:sz w:val="24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overflowPunct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3242</Words>
  <Characters>18485</Characters>
  <Application>Microsoft Office Word</Application>
  <DocSecurity>0</DocSecurity>
  <Lines>154</Lines>
  <Paragraphs>43</Paragraphs>
  <ScaleCrop>false</ScaleCrop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2024-09-18T12:51:00Z</dcterms:created>
  <dcterms:modified xsi:type="dcterms:W3CDTF">2024-09-18T12:51:00Z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