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1512" w14:textId="77777777" w:rsidR="008E19F2" w:rsidRDefault="003636B6">
      <w:pPr>
        <w:widowControl w:val="0"/>
        <w:suppressAutoHyphens/>
        <w:spacing w:after="0" w:line="240" w:lineRule="auto"/>
        <w:ind w:left="340" w:firstLine="5329"/>
      </w:pPr>
      <w:r>
        <w:rPr>
          <w:rFonts w:ascii="Times New Roman" w:hAnsi="Times New Roman" w:cs="Times New Roman"/>
          <w:sz w:val="24"/>
          <w:szCs w:val="24"/>
        </w:rPr>
        <w:t>Приложение к Договору № __</w:t>
      </w:r>
    </w:p>
    <w:p w14:paraId="13354223" w14:textId="75AF60F7" w:rsidR="008E19F2" w:rsidRDefault="003636B6">
      <w:pPr>
        <w:widowControl w:val="0"/>
        <w:suppressAutoHyphens/>
        <w:spacing w:after="0" w:line="240" w:lineRule="auto"/>
        <w:ind w:left="340" w:firstLine="5329"/>
      </w:pPr>
      <w:r>
        <w:rPr>
          <w:rFonts w:ascii="Times New Roman" w:hAnsi="Times New Roman" w:cs="Times New Roman"/>
          <w:sz w:val="24"/>
          <w:szCs w:val="24"/>
        </w:rPr>
        <w:t>От ________________202</w:t>
      </w:r>
      <w:r w:rsidR="00F36C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36F015" w14:textId="77777777" w:rsidR="008E19F2" w:rsidRDefault="008E19F2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FA55EBF" w14:textId="77777777" w:rsidR="008E19F2" w:rsidRDefault="003636B6">
      <w:pPr>
        <w:widowControl w:val="0"/>
        <w:spacing w:after="0" w:line="240" w:lineRule="auto"/>
        <w:ind w:left="108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МЕДИЦИНСКОГО ОБСЛУЖИВАНИЯ </w:t>
      </w:r>
    </w:p>
    <w:p w14:paraId="4630AED0" w14:textId="77777777" w:rsidR="008E19F2" w:rsidRDefault="003636B6">
      <w:pPr>
        <w:widowControl w:val="0"/>
        <w:suppressAutoHyphens/>
        <w:spacing w:after="0" w:line="240" w:lineRule="auto"/>
        <w:ind w:left="1080"/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ОПТИМА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 от 1 года до 3 года)</w:t>
      </w:r>
    </w:p>
    <w:p w14:paraId="54AF2AD7" w14:textId="5E8004D8" w:rsidR="008E19F2" w:rsidRDefault="003636B6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DE7D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110 000</w:t>
      </w:r>
    </w:p>
    <w:p w14:paraId="5F0B6CAB" w14:textId="77777777" w:rsidR="008E19F2" w:rsidRDefault="008E19F2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454D1E8" w14:textId="77777777" w:rsidR="008E19F2" w:rsidRDefault="003636B6">
      <w:pPr>
        <w:numPr>
          <w:ilvl w:val="0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55059FCD" w14:textId="77777777" w:rsidR="008E19F2" w:rsidRDefault="003636B6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53D0523D" w14:textId="77777777" w:rsidR="008E19F2" w:rsidRDefault="008E19F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7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2"/>
        <w:gridCol w:w="2255"/>
      </w:tblGrid>
      <w:tr w:rsidR="008E19F2" w14:paraId="459C8DD9" w14:textId="77777777"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FD509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CA32C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8E19F2" w14:paraId="7E7162EF" w14:textId="77777777"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AA6E3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045E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5EED7464" w14:textId="77777777" w:rsidR="008E19F2" w:rsidRDefault="008E19F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6970D0C" w14:textId="77777777" w:rsidR="008E19F2" w:rsidRDefault="003636B6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7BDC74B3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0" w:name="_Hlk414958511"/>
      <w:bookmarkEnd w:id="0"/>
    </w:p>
    <w:p w14:paraId="5375F415" w14:textId="77777777" w:rsidR="008E19F2" w:rsidRDefault="008E19F2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F21A99C" w14:textId="77777777" w:rsidR="008E19F2" w:rsidRPr="003636B6" w:rsidRDefault="003636B6">
      <w:pPr>
        <w:pStyle w:val="af2"/>
        <w:widowControl w:val="0"/>
        <w:numPr>
          <w:ilvl w:val="0"/>
          <w:numId w:val="5"/>
        </w:numPr>
        <w:overflowPunct w:val="0"/>
        <w:ind w:left="0" w:firstLine="0"/>
        <w:rPr>
          <w:lang w:val="ru-RU"/>
        </w:rPr>
      </w:pPr>
      <w:r>
        <w:rPr>
          <w:szCs w:val="24"/>
          <w:lang w:val="ru-RU"/>
        </w:rPr>
        <w:t xml:space="preserve">АМБУЛАТОРНО-ПОЛИКЛИНИЧЕСКАЯ ПОМОЩЬ В КЛИНИКЕ </w:t>
      </w:r>
      <w:r>
        <w:rPr>
          <w:bCs/>
          <w:szCs w:val="24"/>
          <w:lang w:val="ru-RU" w:eastAsia="ar-SA"/>
        </w:rPr>
        <w:t>ОКАЗЫВАЕТСЯ ТОЛЬКО ПО НАЗНАЧЕНИЮ ВРАЧА</w:t>
      </w:r>
      <w:r>
        <w:rPr>
          <w:szCs w:val="24"/>
          <w:lang w:val="ru-RU"/>
        </w:rPr>
        <w:t>:</w:t>
      </w:r>
    </w:p>
    <w:p w14:paraId="7974B9A8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без ограничения;</w:t>
      </w:r>
    </w:p>
    <w:p w14:paraId="0E036921" w14:textId="37457FEF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r w:rsidR="00F36CB9">
        <w:rPr>
          <w:rFonts w:ascii="Times New Roman" w:hAnsi="Times New Roman" w:cs="Times New Roman"/>
          <w:b/>
          <w:bCs/>
          <w:kern w:val="2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33E4DDA6" w14:textId="77777777" w:rsidR="008E19F2" w:rsidRDefault="003636B6" w:rsidP="006A769C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6E17E7C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bookmarkStart w:id="1" w:name="_Hlk493479081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 5 исследований каждого вида </w:t>
      </w: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bookmarkEnd w:id="1"/>
      <w:r>
        <w:rPr>
          <w:rFonts w:ascii="Times New Roman" w:hAnsi="Times New Roman" w:cs="Times New Roman"/>
          <w:sz w:val="24"/>
          <w:szCs w:val="24"/>
        </w:rPr>
        <w:t>общеклинические, биохимические, бактериологические (в объеме</w:t>
      </w:r>
      <w:bookmarkStart w:id="2" w:name="_Hlk335175751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гистологические, серологические, цитологические исследования, </w:t>
      </w:r>
      <w:bookmarkStart w:id="3" w:name="_Hlk493489181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>исследование гормонов щитовидной железы (Т3 общий и Т4 общий, ТТГ)</w:t>
      </w:r>
      <w:r>
        <w:rPr>
          <w:rFonts w:ascii="Times New Roman" w:hAnsi="Times New Roman" w:cs="Times New Roman"/>
          <w:sz w:val="24"/>
          <w:szCs w:val="24"/>
        </w:rPr>
        <w:t>-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однократно за период годового прикрепления; иммунологические исследования до 5 исследований в сумме  - общий IgE, АТ к ТПО и  ТГ, исследование методом ПЦР (кроме молекулярно-генетических) до 5-ти исследований в сумме;</w:t>
      </w:r>
    </w:p>
    <w:p w14:paraId="26244352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Инструментальные методы диагностики по назначению врача (до 8 исследований всего </w:t>
      </w: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92637121"/>
      <w:r>
        <w:rPr>
          <w:rFonts w:ascii="Times New Roman" w:hAnsi="Times New Roman" w:cs="Times New Roman"/>
          <w:sz w:val="24"/>
          <w:szCs w:val="24"/>
        </w:rPr>
        <w:t>рентгенологические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(кроме рентген контрастных методов, исследований с функциональными пробами); ультразвуковые исследования (кроме пункций под УЗ экранированием); ЭКГ; ЭЭГ (до 5 раз за период обслуживания); </w:t>
      </w:r>
    </w:p>
    <w:p w14:paraId="58375BE8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ЭХО-КГ– однократно за период годового прикрепления; </w:t>
      </w:r>
    </w:p>
    <w:p w14:paraId="5ECDB92F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холтеровское мониторирование ЭКГ, суточное мониторирование АД – однократно за период годового прикрепления;</w:t>
      </w:r>
    </w:p>
    <w:p w14:paraId="15461B1D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процедуры, кроме курсовых процедур:</w:t>
      </w:r>
      <w:r>
        <w:rPr>
          <w:rFonts w:ascii="Times New Roman" w:hAnsi="Times New Roman" w:cs="Times New Roman"/>
          <w:sz w:val="24"/>
          <w:szCs w:val="24"/>
        </w:rPr>
        <w:t xml:space="preserve"> п/к, в/м, в/в инъекции (кроме в/в капельных и курсовых инъекций не более 10 процедур), перевязки, наложение гипсовых повязок;</w:t>
      </w:r>
    </w:p>
    <w:p w14:paraId="3D8AF59C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16FD45D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Классический лечебный массаж в поликлинике:</w:t>
      </w:r>
      <w:r>
        <w:rPr>
          <w:rFonts w:ascii="Times New Roman" w:hAnsi="Times New Roman" w:cs="Times New Roman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0D6D906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407975911"/>
      <w:r>
        <w:rPr>
          <w:rFonts w:ascii="Times New Roman" w:hAnsi="Times New Roman" w:cs="Times New Roman"/>
          <w:sz w:val="24"/>
          <w:szCs w:val="24"/>
        </w:rPr>
        <w:t>Экспертиза трудоспособности, выдача листков нетрудоспособности (Законному представителю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5"/>
    </w:p>
    <w:p w14:paraId="3F4A12A4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9F925" w14:textId="77777777" w:rsidR="008E19F2" w:rsidRDefault="003636B6">
      <w:pPr>
        <w:pStyle w:val="af0"/>
        <w:numPr>
          <w:ilvl w:val="0"/>
          <w:numId w:val="6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ПОМОЩЬ НА ДОМУ ПО ОСТРОМУ ЗАБОЛЕВАНИЮ </w:t>
      </w:r>
    </w:p>
    <w:p w14:paraId="5497B291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Помощь на дому по острому заболеванию  оказывается </w:t>
      </w:r>
      <w:bookmarkStart w:id="6" w:name="_Hlk493526121"/>
      <w:r>
        <w:rPr>
          <w:rFonts w:ascii="Times New Roman" w:hAnsi="Times New Roman" w:cs="Times New Roman"/>
          <w:b/>
          <w:bCs/>
          <w:sz w:val="24"/>
          <w:szCs w:val="24"/>
        </w:rPr>
        <w:t xml:space="preserve">не  более 5-ти раз за период прикрепления 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ascii="Times New Roman" w:hAnsi="Times New Roman" w:cs="Times New Roman"/>
          <w:b/>
          <w:sz w:val="24"/>
          <w:szCs w:val="24"/>
        </w:rPr>
        <w:t>дежурного</w:t>
      </w:r>
      <w:r>
        <w:rPr>
          <w:rFonts w:ascii="Times New Roman" w:hAnsi="Times New Roman" w:cs="Times New Roman"/>
          <w:sz w:val="24"/>
          <w:szCs w:val="24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A525F" w14:textId="77777777" w:rsidR="008E19F2" w:rsidRDefault="003636B6">
      <w:pPr>
        <w:pStyle w:val="af0"/>
        <w:spacing w:after="0" w:line="240" w:lineRule="auto"/>
        <w:ind w:left="36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5326DD5A" w14:textId="77777777" w:rsidR="008E19F2" w:rsidRDefault="008E19F2">
      <w:pPr>
        <w:pStyle w:val="af2"/>
        <w:widowControl w:val="0"/>
        <w:overflowPunct w:val="0"/>
        <w:rPr>
          <w:szCs w:val="24"/>
          <w:lang w:val="ru-RU"/>
        </w:rPr>
      </w:pPr>
    </w:p>
    <w:p w14:paraId="1506B38B" w14:textId="77777777" w:rsidR="008E19F2" w:rsidRDefault="003636B6">
      <w:pPr>
        <w:pStyle w:val="af2"/>
        <w:widowControl w:val="0"/>
        <w:numPr>
          <w:ilvl w:val="0"/>
          <w:numId w:val="6"/>
        </w:numPr>
        <w:overflowPunct w:val="0"/>
      </w:pPr>
      <w:r>
        <w:rPr>
          <w:szCs w:val="24"/>
          <w:lang w:val="ru-RU"/>
        </w:rPr>
        <w:t>ПЛАНОВЫЕ И ПРОФИЛАКТИЧЕСКИЕ МЕРОПРИЯТИЯ:</w:t>
      </w:r>
    </w:p>
    <w:p w14:paraId="3D2299E9" w14:textId="77777777" w:rsidR="008E19F2" w:rsidRDefault="003636B6">
      <w:pPr>
        <w:pStyle w:val="af0"/>
        <w:numPr>
          <w:ilvl w:val="1"/>
          <w:numId w:val="6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4674076A" w14:textId="77777777" w:rsidR="008E19F2" w:rsidRDefault="008E19F2" w:rsidP="007D2BE1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C4D4C24" w14:textId="77777777" w:rsidR="008E19F2" w:rsidRDefault="003636B6">
      <w:pPr>
        <w:pStyle w:val="af0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2, в 3 года – однократно за период действия программы</w:t>
      </w:r>
    </w:p>
    <w:p w14:paraId="6C6EEABA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FBFE7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9345" w:type="dxa"/>
        <w:tblLook w:val="04A0" w:firstRow="1" w:lastRow="0" w:firstColumn="1" w:lastColumn="0" w:noHBand="0" w:noVBand="1"/>
      </w:tblPr>
      <w:tblGrid>
        <w:gridCol w:w="2519"/>
        <w:gridCol w:w="2135"/>
        <w:gridCol w:w="2491"/>
        <w:gridCol w:w="2200"/>
      </w:tblGrid>
      <w:tr w:rsidR="008E19F2" w14:paraId="6170672B" w14:textId="77777777">
        <w:tc>
          <w:tcPr>
            <w:tcW w:w="2517" w:type="dxa"/>
            <w:shd w:val="clear" w:color="auto" w:fill="auto"/>
          </w:tcPr>
          <w:p w14:paraId="20E1F522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1785E8B4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shd w:val="clear" w:color="auto" w:fill="auto"/>
          </w:tcPr>
          <w:p w14:paraId="073D0295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4A98C2A7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8E19F2" w14:paraId="5792590C" w14:textId="77777777">
        <w:tc>
          <w:tcPr>
            <w:tcW w:w="2517" w:type="dxa"/>
            <w:shd w:val="clear" w:color="auto" w:fill="auto"/>
          </w:tcPr>
          <w:p w14:paraId="3032C90B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27577E78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91" w:type="dxa"/>
            <w:shd w:val="clear" w:color="auto" w:fill="auto"/>
          </w:tcPr>
          <w:p w14:paraId="629B8268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2E6AE3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</w:tc>
        <w:tc>
          <w:tcPr>
            <w:tcW w:w="2200" w:type="dxa"/>
            <w:shd w:val="clear" w:color="auto" w:fill="auto"/>
          </w:tcPr>
          <w:p w14:paraId="66B5628B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8E19F2" w14:paraId="3AB15ED2" w14:textId="77777777">
        <w:tc>
          <w:tcPr>
            <w:tcW w:w="2517" w:type="dxa"/>
            <w:shd w:val="clear" w:color="auto" w:fill="auto"/>
          </w:tcPr>
          <w:p w14:paraId="246EF714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50098C50" w14:textId="77777777" w:rsidR="008E19F2" w:rsidRDefault="008E1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8AEEF" w14:textId="77777777" w:rsidR="008E19F2" w:rsidRDefault="00363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91" w:type="dxa"/>
            <w:shd w:val="clear" w:color="auto" w:fill="auto"/>
          </w:tcPr>
          <w:p w14:paraId="7A3BC071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152A30A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  <w:p w14:paraId="3A45975E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</w:tcPr>
          <w:p w14:paraId="1ACCB7BC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418F689E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D566E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9C6A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8246" w14:textId="77777777" w:rsidR="008E19F2" w:rsidRDefault="003636B6">
      <w:pPr>
        <w:spacing w:after="0" w:line="240" w:lineRule="auto"/>
        <w:ind w:left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9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8E19F2" w14:paraId="53CE337F" w14:textId="77777777">
        <w:tc>
          <w:tcPr>
            <w:tcW w:w="2410" w:type="dxa"/>
            <w:shd w:val="clear" w:color="auto" w:fill="auto"/>
          </w:tcPr>
          <w:p w14:paraId="305C834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68244DEC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8E19F2" w14:paraId="7CF03E60" w14:textId="77777777">
        <w:trPr>
          <w:trHeight w:val="421"/>
        </w:trPr>
        <w:tc>
          <w:tcPr>
            <w:tcW w:w="2410" w:type="dxa"/>
            <w:shd w:val="clear" w:color="auto" w:fill="auto"/>
          </w:tcPr>
          <w:p w14:paraId="289A6408" w14:textId="77777777" w:rsidR="008E19F2" w:rsidRDefault="003636B6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939" w:type="dxa"/>
            <w:shd w:val="clear" w:color="auto" w:fill="auto"/>
          </w:tcPr>
          <w:p w14:paraId="45FC5907" w14:textId="77777777" w:rsidR="008E19F2" w:rsidRDefault="00363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пневмококка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(ревакцинация)</w:t>
            </w:r>
          </w:p>
        </w:tc>
      </w:tr>
      <w:tr w:rsidR="008E19F2" w14:paraId="02FB3C5F" w14:textId="77777777">
        <w:tc>
          <w:tcPr>
            <w:tcW w:w="2410" w:type="dxa"/>
            <w:shd w:val="clear" w:color="auto" w:fill="auto"/>
          </w:tcPr>
          <w:p w14:paraId="2795EB1A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6939" w:type="dxa"/>
            <w:shd w:val="clear" w:color="auto" w:fill="auto"/>
          </w:tcPr>
          <w:p w14:paraId="3D691299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коклюша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дифтерии, столбняка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</w:tc>
      </w:tr>
      <w:tr w:rsidR="008E19F2" w14:paraId="6DAD2D59" w14:textId="77777777">
        <w:tc>
          <w:tcPr>
            <w:tcW w:w="2410" w:type="dxa"/>
            <w:shd w:val="clear" w:color="auto" w:fill="auto"/>
          </w:tcPr>
          <w:p w14:paraId="7B47B23E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939" w:type="dxa"/>
            <w:shd w:val="clear" w:color="auto" w:fill="auto"/>
          </w:tcPr>
          <w:p w14:paraId="088DFB67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 ревакцинация против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  <w:p w14:paraId="49F240CF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19F2" w14:paraId="08AEC53C" w14:textId="77777777">
        <w:tc>
          <w:tcPr>
            <w:tcW w:w="2410" w:type="dxa"/>
            <w:shd w:val="clear" w:color="auto" w:fill="auto"/>
          </w:tcPr>
          <w:p w14:paraId="27B19B9B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939" w:type="dxa"/>
            <w:shd w:val="clear" w:color="auto" w:fill="auto"/>
          </w:tcPr>
          <w:p w14:paraId="63AB4EEA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3DFF5D65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2" w14:paraId="690FA848" w14:textId="77777777">
        <w:tc>
          <w:tcPr>
            <w:tcW w:w="2410" w:type="dxa"/>
            <w:shd w:val="clear" w:color="auto" w:fill="auto"/>
          </w:tcPr>
          <w:p w14:paraId="33D14499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7E416517" w14:textId="77777777" w:rsidR="008E19F2" w:rsidRDefault="008E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14:paraId="2DD0167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22F9ED41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2" w14:paraId="1D7427C4" w14:textId="77777777"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18B7D1E9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t>ежегодно</w:t>
            </w:r>
          </w:p>
        </w:tc>
        <w:tc>
          <w:tcPr>
            <w:tcW w:w="6939" w:type="dxa"/>
            <w:tcBorders>
              <w:top w:val="nil"/>
            </w:tcBorders>
            <w:shd w:val="clear" w:color="auto" w:fill="auto"/>
          </w:tcPr>
          <w:p w14:paraId="5EFCA5DE" w14:textId="77777777" w:rsidR="008E19F2" w:rsidRDefault="00363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14:paraId="0C26562F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35C50398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Изменения по вакцинопрофилактике производятся согласно с изменениями Приказа МЗ РФ № 125н от 21.03.2014 г.</w:t>
      </w:r>
    </w:p>
    <w:p w14:paraId="6227B2BC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2800D24E" w14:textId="77777777" w:rsidR="008E19F2" w:rsidRDefault="003636B6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       </w:t>
      </w:r>
    </w:p>
    <w:p w14:paraId="4290C56A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ind w:left="0" w:firstLine="0"/>
        <w:rPr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 ДЛЯ ДЕТЕЙ В ВОЗРАСТЕ ОТ 1 ДО 3 ЛЕТ:</w:t>
      </w:r>
    </w:p>
    <w:p w14:paraId="46F24D7F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5893E0B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родителей или уполномоченных представителей Пациента.</w:t>
      </w:r>
      <w:bookmarkStart w:id="7" w:name="_Hlk456134501"/>
      <w:bookmarkEnd w:id="7"/>
    </w:p>
    <w:p w14:paraId="3C21D089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7849E6B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4625F219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8" w:name="_Hlk492647221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87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87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8"/>
    </w:p>
    <w:p w14:paraId="38C5724A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09BE461F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6394C071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CA79D32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25466174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8157443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договоре.</w:t>
      </w:r>
    </w:p>
    <w:p w14:paraId="0A19EF02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FF2C9D7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9" w:name="__DdeLink__8341_8178904631"/>
      <w:bookmarkEnd w:id="9"/>
      <w:r>
        <w:rPr>
          <w:rFonts w:ascii="Times New Roman" w:hAnsi="Times New Roman" w:cs="Times New Roman"/>
          <w:sz w:val="24"/>
          <w:szCs w:val="24"/>
        </w:rPr>
        <w:lastRenderedPageBreak/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4035F3BA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70D4105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1284D246" w14:textId="77777777" w:rsidR="008E19F2" w:rsidRDefault="003636B6">
      <w:pPr>
        <w:pStyle w:val="af0"/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0C837F1B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BAFE0B6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154C7EE9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2AD6D7D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424E1AC5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965C08C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F98918D" w14:textId="77777777" w:rsidR="008E19F2" w:rsidRDefault="003636B6">
      <w:pPr>
        <w:pStyle w:val="21"/>
        <w:tabs>
          <w:tab w:val="left" w:pos="0"/>
          <w:tab w:val="left" w:pos="360"/>
          <w:tab w:val="left" w:pos="1260"/>
        </w:tabs>
        <w:ind w:firstLine="0"/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7B14AE21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3691502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157D2A7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394435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7CFA8289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316EC771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01E615B1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72DAE065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51DF6C44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03495AED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3031F0FE" w14:textId="77777777" w:rsidR="008E19F2" w:rsidRDefault="008E19F2">
      <w:p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71147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ind w:left="0" w:firstLine="0"/>
        <w:jc w:val="both"/>
        <w:rPr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4F5E8278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Личный менеджер по сопровождению на весь срок прикрепления; </w:t>
      </w:r>
    </w:p>
    <w:p w14:paraId="77C01FD7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Прямая связь с персональным менеджером по телефону соответствии с графиком работы персонального менеджера</w:t>
      </w:r>
      <w:bookmarkStart w:id="10" w:name="_Hlk414984911"/>
      <w:bookmarkEnd w:id="10"/>
      <w:r>
        <w:rPr>
          <w:rFonts w:ascii="Times New Roman" w:hAnsi="Times New Roman" w:cs="Times New Roman"/>
          <w:sz w:val="24"/>
          <w:szCs w:val="24"/>
        </w:rPr>
        <w:t>;</w:t>
      </w:r>
    </w:p>
    <w:p w14:paraId="20926AAD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Ведущий врач-педиатр.</w:t>
      </w:r>
    </w:p>
    <w:p w14:paraId="2C133428" w14:textId="77777777" w:rsidR="008E19F2" w:rsidRDefault="008E19F2">
      <w:pPr>
        <w:pStyle w:val="af0"/>
        <w:tabs>
          <w:tab w:val="left" w:pos="0"/>
        </w:tabs>
        <w:spacing w:after="0" w:line="240" w:lineRule="auto"/>
        <w:ind w:left="142"/>
        <w:jc w:val="both"/>
      </w:pPr>
      <w:bookmarkStart w:id="11" w:name="_Hlk414997001"/>
      <w:bookmarkEnd w:id="11"/>
    </w:p>
    <w:p w14:paraId="77C4BD0B" w14:textId="77777777" w:rsidR="008E19F2" w:rsidRDefault="008E19F2">
      <w:pPr>
        <w:pStyle w:val="af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51953905" w14:textId="77777777" w:rsidR="008E19F2" w:rsidRDefault="008E19F2">
      <w:pPr>
        <w:pStyle w:val="af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64B94F8D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jc w:val="both"/>
        <w:rPr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 w14:paraId="342DD327" w14:textId="77777777" w:rsidR="008E19F2" w:rsidRPr="003636B6" w:rsidRDefault="003636B6">
      <w:pPr>
        <w:pStyle w:val="af2"/>
        <w:widowControl w:val="0"/>
        <w:overflowPunct w:val="0"/>
        <w:jc w:val="both"/>
        <w:rPr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D0A4D77" w14:textId="77777777" w:rsidR="008E19F2" w:rsidRDefault="008E19F2">
      <w:pPr>
        <w:pStyle w:val="af2"/>
        <w:widowControl w:val="0"/>
        <w:overflowPunct w:val="0"/>
        <w:ind w:left="360"/>
        <w:jc w:val="both"/>
        <w:rPr>
          <w:sz w:val="22"/>
          <w:szCs w:val="22"/>
          <w:lang w:val="ru-RU"/>
        </w:rPr>
      </w:pPr>
    </w:p>
    <w:p w14:paraId="6F4AC750" w14:textId="77777777" w:rsidR="008E19F2" w:rsidRDefault="003636B6">
      <w:pPr>
        <w:pStyle w:val="af0"/>
        <w:widowControl w:val="0"/>
        <w:numPr>
          <w:ilvl w:val="1"/>
          <w:numId w:val="6"/>
        </w:numPr>
        <w:tabs>
          <w:tab w:val="left" w:pos="360"/>
        </w:tabs>
        <w:spacing w:after="0" w:line="240" w:lineRule="auto"/>
        <w:jc w:val="both"/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22CD3649" w14:textId="77777777" w:rsidR="008E19F2" w:rsidRDefault="003636B6">
      <w:pPr>
        <w:pStyle w:val="af0"/>
        <w:widowControl w:val="0"/>
        <w:numPr>
          <w:ilvl w:val="1"/>
          <w:numId w:val="6"/>
        </w:numPr>
        <w:spacing w:after="0" w:line="240" w:lineRule="auto"/>
        <w:jc w:val="both"/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35A8497D" w14:textId="77777777" w:rsidR="008E19F2" w:rsidRDefault="003636B6">
      <w:pPr>
        <w:pStyle w:val="af0"/>
        <w:widowControl w:val="0"/>
        <w:numPr>
          <w:ilvl w:val="1"/>
          <w:numId w:val="6"/>
        </w:numPr>
        <w:spacing w:after="0" w:line="240" w:lineRule="auto"/>
        <w:jc w:val="both"/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14181861" w14:textId="77777777" w:rsidR="008E19F2" w:rsidRDefault="008E19F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7B6BFE27" w14:textId="77777777" w:rsidR="008E19F2" w:rsidRDefault="003636B6">
      <w:pPr>
        <w:suppressAutoHyphens/>
        <w:spacing w:after="0" w:line="240" w:lineRule="auto"/>
        <w:ind w:left="360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790211DB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F73E9C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7CDC74CB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30799977" w14:textId="77777777" w:rsidR="008E19F2" w:rsidRDefault="003636B6">
      <w:pPr>
        <w:pStyle w:val="af0"/>
        <w:numPr>
          <w:ilvl w:val="1"/>
          <w:numId w:val="6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44013EA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7ECE418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49B480E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C1116E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5C66CB3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2844CA4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211931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274485CA" w14:textId="77777777" w:rsidR="008E19F2" w:rsidRDefault="003636B6">
      <w:pPr>
        <w:suppressAutoHyphens/>
        <w:spacing w:after="0" w:line="240" w:lineRule="auto"/>
        <w:ind w:left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ACD6549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04B35F4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05A5A97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5552371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E19088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31684D2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09658B0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1793FAB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23061087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3AB4E0E9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48252AA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4E1301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5DFFA94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hAnsi="Times New Roman" w:cs="Times New Roman"/>
          <w:color w:val="000000" w:themeColor="text1"/>
        </w:rPr>
        <w:t>Вальгусная и варусная деформация 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 w14:paraId="340D82A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0559F83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67933A2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629E506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043D345" w14:textId="77777777" w:rsidR="008E19F2" w:rsidRDefault="003636B6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250CF1D5" w14:textId="77777777" w:rsidR="008E19F2" w:rsidRDefault="008E19F2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CA6443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1193783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6177195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3114E0A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8FB0E4F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2260A38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706F0A3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6EE7264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4B49DC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1014C9D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0890C11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344D0DE3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0B1A989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-врачей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65C3AD0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6B48F74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942739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 w14:paraId="355884BA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</w:t>
      </w:r>
      <w:bookmarkStart w:id="12" w:name="_Hlk414997661"/>
      <w:r>
        <w:rPr>
          <w:rFonts w:ascii="Times New Roman" w:hAnsi="Times New Roman" w:cs="Times New Roman"/>
          <w:sz w:val="24"/>
          <w:szCs w:val="24"/>
        </w:rPr>
        <w:t xml:space="preserve">анализ кала на дисбактериоз, </w:t>
      </w:r>
      <w:bookmarkStart w:id="13" w:name="_Hlk431318511"/>
      <w:r>
        <w:rPr>
          <w:rFonts w:ascii="Times New Roman" w:hAnsi="Times New Roman" w:cs="Times New Roman"/>
          <w:sz w:val="24"/>
          <w:szCs w:val="24"/>
        </w:rPr>
        <w:t>анализ кала на углеводы;</w:t>
      </w:r>
      <w:bookmarkEnd w:id="12"/>
      <w:bookmarkEnd w:id="13"/>
    </w:p>
    <w:p w14:paraId="1FE8A17F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3A885B6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1C2674B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0A57D66A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66C95CC0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bookmarkStart w:id="14" w:name="_Hlk4935416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14"/>
    </w:p>
    <w:p w14:paraId="55F80D1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сети.</w:t>
      </w:r>
    </w:p>
    <w:p w14:paraId="281AEEF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bookmarkStart w:id="15" w:name="_Hlk49268145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End w:id="1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C4D673F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7EB19B" w14:textId="77777777" w:rsidR="008E19F2" w:rsidRDefault="008E19F2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E19F2" w14:paraId="5565826D" w14:textId="77777777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70595C" w14:textId="77777777" w:rsidR="008E19F2" w:rsidRDefault="003636B6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7C20CDEC" w14:textId="77777777" w:rsidR="008E19F2" w:rsidRDefault="008E1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8DD15" w14:textId="0B1AF1DD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363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/Газалова О.А.</w:t>
            </w:r>
          </w:p>
          <w:p w14:paraId="4A963C54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54A38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7A4D08CD" w14:textId="77777777" w:rsidR="008E19F2" w:rsidRDefault="008E1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7A518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3249816A" w14:textId="77777777" w:rsidR="008E19F2" w:rsidRDefault="008E19F2">
      <w:pPr>
        <w:spacing w:after="0" w:line="240" w:lineRule="auto"/>
      </w:pPr>
    </w:p>
    <w:sectPr w:rsidR="008E19F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C14"/>
    <w:multiLevelType w:val="multilevel"/>
    <w:tmpl w:val="F3AA76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944FF5"/>
    <w:multiLevelType w:val="multilevel"/>
    <w:tmpl w:val="5598417C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EEE3777"/>
    <w:multiLevelType w:val="multilevel"/>
    <w:tmpl w:val="164252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0959D6"/>
    <w:multiLevelType w:val="multilevel"/>
    <w:tmpl w:val="488A2F5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CF4D31"/>
    <w:multiLevelType w:val="multilevel"/>
    <w:tmpl w:val="5142C57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F14E6"/>
    <w:multiLevelType w:val="multilevel"/>
    <w:tmpl w:val="F692C8A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F827D5"/>
    <w:multiLevelType w:val="multilevel"/>
    <w:tmpl w:val="AB94F8E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650596372">
    <w:abstractNumId w:val="2"/>
  </w:num>
  <w:num w:numId="2" w16cid:durableId="376667632">
    <w:abstractNumId w:val="6"/>
  </w:num>
  <w:num w:numId="3" w16cid:durableId="1507864093">
    <w:abstractNumId w:val="3"/>
  </w:num>
  <w:num w:numId="4" w16cid:durableId="541670857">
    <w:abstractNumId w:val="0"/>
  </w:num>
  <w:num w:numId="5" w16cid:durableId="121703292">
    <w:abstractNumId w:val="1"/>
  </w:num>
  <w:num w:numId="6" w16cid:durableId="739328565">
    <w:abstractNumId w:val="5"/>
  </w:num>
  <w:num w:numId="7" w16cid:durableId="59868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F2"/>
    <w:rsid w:val="000409BD"/>
    <w:rsid w:val="000C523B"/>
    <w:rsid w:val="002C0185"/>
    <w:rsid w:val="003636B6"/>
    <w:rsid w:val="006A769C"/>
    <w:rsid w:val="006D20D9"/>
    <w:rsid w:val="00792287"/>
    <w:rsid w:val="007D2BE1"/>
    <w:rsid w:val="007F2C23"/>
    <w:rsid w:val="00853F43"/>
    <w:rsid w:val="008E19F2"/>
    <w:rsid w:val="00B27202"/>
    <w:rsid w:val="00DE7D0E"/>
    <w:rsid w:val="00F07FDD"/>
    <w:rsid w:val="00F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62D3"/>
  <w15:docId w15:val="{EBCEC665-16E4-4E8D-BDF7-04B43DFC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87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semiHidden/>
    <w:unhideWhenUsed/>
    <w:rsid w:val="00046E2E"/>
    <w:rPr>
      <w:rFonts w:ascii="Trebuchet MS" w:hAnsi="Trebuchet MS"/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88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b/>
      <w:sz w:val="24"/>
    </w:rPr>
  </w:style>
  <w:style w:type="character" w:customStyle="1" w:styleId="ListLabel39">
    <w:name w:val="ListLabel 39"/>
    <w:qFormat/>
    <w:rPr>
      <w:rFonts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  <w:bCs/>
      <w:sz w:val="24"/>
    </w:rPr>
  </w:style>
  <w:style w:type="character" w:customStyle="1" w:styleId="ListLabel57">
    <w:name w:val="ListLabel 57"/>
    <w:qFormat/>
    <w:rPr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b/>
      <w:bCs/>
      <w:i w:val="0"/>
      <w:iCs/>
      <w:strike w:val="0"/>
      <w:dstrike w:val="0"/>
      <w:color w:val="auto"/>
      <w:sz w:val="24"/>
    </w:rPr>
  </w:style>
  <w:style w:type="character" w:customStyle="1" w:styleId="ListLabel59">
    <w:name w:val="ListLabel 59"/>
    <w:qFormat/>
    <w:rPr>
      <w:b/>
      <w:bCs/>
      <w:strike w:val="0"/>
      <w:dstrike w:val="0"/>
    </w:rPr>
  </w:style>
  <w:style w:type="character" w:customStyle="1" w:styleId="ListLabel60">
    <w:name w:val="ListLabel 60"/>
    <w:qFormat/>
    <w:rPr>
      <w:rFonts w:ascii="Times New Roman" w:hAnsi="Times New Roman"/>
      <w:b/>
      <w:bCs/>
      <w:sz w:val="24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ascii="Times New Roman" w:hAnsi="Times New Roman"/>
      <w:b/>
      <w:bCs/>
      <w:strike w:val="0"/>
      <w:dstrike w:val="0"/>
      <w:sz w:val="24"/>
    </w:rPr>
  </w:style>
  <w:style w:type="character" w:customStyle="1" w:styleId="ListLabel63">
    <w:name w:val="ListLabel 63"/>
    <w:qFormat/>
    <w:rPr>
      <w:b/>
      <w:bCs/>
      <w:strike w:val="0"/>
      <w:dstrike w:val="0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  <w:strike w:val="0"/>
      <w:dstrike w:val="0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ascii="Times New Roman" w:hAnsi="Times New Roman" w:cs="Wingdings"/>
      <w:b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b/>
      <w:bCs/>
      <w:strike w:val="0"/>
      <w:dstrike w:val="0"/>
      <w:u w:val="none"/>
      <w:effect w:val="none"/>
    </w:rPr>
  </w:style>
  <w:style w:type="character" w:customStyle="1" w:styleId="ListLabel85">
    <w:name w:val="ListLabel 85"/>
    <w:qFormat/>
    <w:rPr>
      <w:b w:val="0"/>
      <w:color w:val="000000"/>
    </w:rPr>
  </w:style>
  <w:style w:type="character" w:customStyle="1" w:styleId="ListLabel86">
    <w:name w:val="ListLabel 86"/>
    <w:qFormat/>
    <w:rPr>
      <w:b/>
      <w:bCs/>
    </w:rPr>
  </w:style>
  <w:style w:type="character" w:customStyle="1" w:styleId="ListLabel87">
    <w:name w:val="ListLabel 87"/>
    <w:qFormat/>
    <w:rPr>
      <w:rFonts w:ascii="Times New Roman" w:hAnsi="Times New Roman" w:cs="Times New Roman"/>
      <w:sz w:val="24"/>
      <w:szCs w:val="24"/>
    </w:rPr>
  </w:style>
  <w:style w:type="character" w:customStyle="1" w:styleId="ListLabel88">
    <w:name w:val="ListLabel 88"/>
    <w:qFormat/>
    <w:rPr>
      <w:b/>
      <w:i w:val="0"/>
      <w:iCs/>
      <w:color w:val="auto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  <w:bCs/>
      <w:sz w:val="24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strike w:val="0"/>
      <w:dstrike w:val="0"/>
      <w:sz w:val="24"/>
    </w:rPr>
  </w:style>
  <w:style w:type="character" w:customStyle="1" w:styleId="ListLabel99">
    <w:name w:val="ListLabel 99"/>
    <w:qFormat/>
    <w:rPr>
      <w:rFonts w:cs="Wingdings"/>
      <w:b/>
      <w:sz w:val="24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Times New Roman" w:hAnsi="Times New Roman" w:cs="Times New Roman"/>
      <w:sz w:val="24"/>
      <w:szCs w:val="24"/>
    </w:rPr>
  </w:style>
  <w:style w:type="character" w:customStyle="1" w:styleId="ListLabel109">
    <w:name w:val="ListLabel 109"/>
    <w:qFormat/>
    <w:rPr>
      <w:b/>
      <w:i w:val="0"/>
      <w:iCs/>
      <w:color w:val="auto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/>
    </w:rPr>
  </w:style>
  <w:style w:type="character" w:customStyle="1" w:styleId="ListLabel115">
    <w:name w:val="ListLabel 115"/>
    <w:qFormat/>
    <w:rPr>
      <w:b/>
    </w:rPr>
  </w:style>
  <w:style w:type="character" w:customStyle="1" w:styleId="ListLabel116">
    <w:name w:val="ListLabel 116"/>
    <w:qFormat/>
    <w:rPr>
      <w:b/>
    </w:rPr>
  </w:style>
  <w:style w:type="character" w:customStyle="1" w:styleId="ListLabel117">
    <w:name w:val="ListLabel 117"/>
    <w:qFormat/>
    <w:rPr>
      <w:b/>
      <w:bCs/>
      <w:sz w:val="24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Wingdings"/>
      <w:b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 w:cs="Times New Roman"/>
      <w:sz w:val="24"/>
      <w:szCs w:val="24"/>
    </w:rPr>
  </w:style>
  <w:style w:type="character" w:customStyle="1" w:styleId="ListLabel129">
    <w:name w:val="ListLabel 129"/>
    <w:qFormat/>
    <w:rPr>
      <w:b/>
      <w:i w:val="0"/>
      <w:iCs/>
      <w:color w:val="auto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qFormat/>
    <w:rPr>
      <w:b/>
    </w:rPr>
  </w:style>
  <w:style w:type="character" w:customStyle="1" w:styleId="ListLabel132">
    <w:name w:val="ListLabel 132"/>
    <w:qFormat/>
    <w:rPr>
      <w:b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b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rFonts w:cs="Wingdings"/>
      <w:b/>
      <w:sz w:val="24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b/>
      <w:bCs/>
      <w:strike w:val="0"/>
      <w:dstrike w:val="0"/>
      <w:sz w:val="24"/>
    </w:rPr>
  </w:style>
  <w:style w:type="character" w:customStyle="1" w:styleId="ListLabel147">
    <w:name w:val="ListLabel 147"/>
    <w:qFormat/>
    <w:rPr>
      <w:b/>
      <w:bCs/>
      <w:sz w:val="24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ascii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Pr>
      <w:b/>
      <w:i w:val="0"/>
      <w:iCs/>
      <w:color w:val="auto"/>
    </w:rPr>
  </w:style>
  <w:style w:type="character" w:customStyle="1" w:styleId="ListLabel151">
    <w:name w:val="ListLabel 151"/>
    <w:qFormat/>
    <w:rPr>
      <w:b/>
    </w:rPr>
  </w:style>
  <w:style w:type="character" w:customStyle="1" w:styleId="ListLabel152">
    <w:name w:val="ListLabel 152"/>
    <w:qFormat/>
    <w:rPr>
      <w:b/>
    </w:rPr>
  </w:style>
  <w:style w:type="character" w:customStyle="1" w:styleId="ListLabel153">
    <w:name w:val="ListLabel 153"/>
    <w:qFormat/>
    <w:rPr>
      <w:b/>
    </w:rPr>
  </w:style>
  <w:style w:type="character" w:customStyle="1" w:styleId="ListLabel154">
    <w:name w:val="ListLabel 154"/>
    <w:qFormat/>
    <w:rPr>
      <w:b/>
    </w:rPr>
  </w:style>
  <w:style w:type="character" w:customStyle="1" w:styleId="ListLabel155">
    <w:name w:val="ListLabel 155"/>
    <w:qFormat/>
    <w:rPr>
      <w:b/>
    </w:rPr>
  </w:style>
  <w:style w:type="character" w:customStyle="1" w:styleId="ListLabel156">
    <w:name w:val="ListLabel 156"/>
    <w:qFormat/>
    <w:rPr>
      <w:b/>
    </w:rPr>
  </w:style>
  <w:style w:type="character" w:customStyle="1" w:styleId="ListLabel157">
    <w:name w:val="ListLabel 157"/>
    <w:qFormat/>
    <w:rPr>
      <w:b/>
    </w:rPr>
  </w:style>
  <w:style w:type="character" w:customStyle="1" w:styleId="ListLabel158">
    <w:name w:val="ListLabel 158"/>
    <w:qFormat/>
    <w:rPr>
      <w:rFonts w:cs="Wingdings"/>
      <w:b/>
      <w:sz w:val="24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b/>
      <w:bCs/>
      <w:strike w:val="0"/>
      <w:dstrike w:val="0"/>
      <w:sz w:val="24"/>
    </w:rPr>
  </w:style>
  <w:style w:type="character" w:customStyle="1" w:styleId="ListLabel168">
    <w:name w:val="ListLabel 168"/>
    <w:qFormat/>
    <w:rPr>
      <w:b/>
      <w:bCs/>
      <w:sz w:val="24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ascii="Times New Roman" w:hAnsi="Times New Roman" w:cs="Times New Roman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3248</Words>
  <Characters>18519</Characters>
  <Application>Microsoft Office Word</Application>
  <DocSecurity>0</DocSecurity>
  <Lines>154</Lines>
  <Paragraphs>43</Paragraphs>
  <ScaleCrop>false</ScaleCrop>
  <Company/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2026-01-16T11:36:00Z</dcterms:created>
  <dcterms:modified xsi:type="dcterms:W3CDTF">2026-01-16T11:36:00Z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