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4ACC" w14:textId="77777777" w:rsidR="00A265A4" w:rsidRPr="009E7E41" w:rsidRDefault="009E7E41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116F61E2" w14:textId="77777777" w:rsidR="00A265A4" w:rsidRPr="009E7E41" w:rsidRDefault="009E7E41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proofErr w:type="gramStart"/>
      <w:r>
        <w:rPr>
          <w:rFonts w:eastAsiaTheme="minorHAnsi" w:cs="Times New Roman"/>
          <w:lang w:val="ru-RU" w:eastAsia="en-US"/>
        </w:rPr>
        <w:t>_»_</w:t>
      </w:r>
      <w:proofErr w:type="gramEnd"/>
      <w:r>
        <w:rPr>
          <w:rFonts w:eastAsiaTheme="minorHAnsi" w:cs="Times New Roman"/>
          <w:lang w:val="ru-RU" w:eastAsia="en-US"/>
        </w:rPr>
        <w:t>__________ 2024 г.</w:t>
      </w:r>
    </w:p>
    <w:p w14:paraId="790AD29F" w14:textId="77777777" w:rsidR="00A265A4" w:rsidRDefault="00A265A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2F3F0E75" w14:textId="77777777" w:rsidR="00A265A4" w:rsidRDefault="00A265A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211A592D" w14:textId="77777777" w:rsidR="00A265A4" w:rsidRDefault="009E7E41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(ОТ 0 ГОДА ДО 1 ГОДА)  </w:t>
      </w:r>
    </w:p>
    <w:p w14:paraId="0ADBCF72" w14:textId="77777777" w:rsidR="00A265A4" w:rsidRPr="009E7E41" w:rsidRDefault="009E7E41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с удаленностью до 30 км от МКАД 148 000 рублей</w:t>
      </w:r>
    </w:p>
    <w:p w14:paraId="2DB1EF74" w14:textId="77777777" w:rsidR="00A265A4" w:rsidRPr="009E7E41" w:rsidRDefault="00A265A4">
      <w:pPr>
        <w:widowControl w:val="0"/>
        <w:ind w:left="1080"/>
        <w:jc w:val="center"/>
        <w:rPr>
          <w:lang w:val="ru-RU"/>
        </w:rPr>
      </w:pPr>
      <w:bookmarkStart w:id="0" w:name="_Hlk49345206"/>
      <w:bookmarkEnd w:id="0"/>
    </w:p>
    <w:p w14:paraId="1E3C00F8" w14:textId="77777777" w:rsidR="00A265A4" w:rsidRDefault="009E7E41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EFDFD09" w14:textId="77777777" w:rsidR="00A265A4" w:rsidRDefault="009E7E41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0E14564" w14:textId="77777777" w:rsidR="00A265A4" w:rsidRDefault="00A265A4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A265A4" w14:paraId="596CFB86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08BD" w14:textId="77777777" w:rsidR="00A265A4" w:rsidRDefault="009E7E41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F46F" w14:textId="77777777" w:rsidR="00A265A4" w:rsidRDefault="009E7E4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A265A4" w14:paraId="04487946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1C2C" w14:textId="77777777" w:rsidR="00A265A4" w:rsidRDefault="009E7E41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lang w:val="ru-RU"/>
              </w:rPr>
              <w:t>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8B51" w14:textId="77777777" w:rsidR="00A265A4" w:rsidRDefault="009E7E4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6B61138C" w14:textId="77777777" w:rsidR="00A265A4" w:rsidRDefault="00A265A4">
      <w:pPr>
        <w:ind w:left="360"/>
        <w:rPr>
          <w:rFonts w:cs="Times New Roman"/>
        </w:rPr>
      </w:pPr>
    </w:p>
    <w:p w14:paraId="0637C6A4" w14:textId="77777777" w:rsidR="00A265A4" w:rsidRDefault="009E7E41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93452061"/>
      <w:bookmarkStart w:id="3" w:name="_Hlk4079812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24CC40E5" w14:textId="77777777" w:rsidR="00A265A4" w:rsidRDefault="009E7E41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</w:t>
      </w:r>
      <w:r>
        <w:rPr>
          <w:rFonts w:eastAsiaTheme="minorHAnsi" w:cs="Times New Roman"/>
          <w:lang w:val="ru-RU" w:eastAsia="zh-CN" w:bidi="hi-IN"/>
        </w:rPr>
        <w:t>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4AE25753" w14:textId="77777777" w:rsidR="00A265A4" w:rsidRDefault="00A265A4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683CE597" w14:textId="77777777" w:rsidR="00A265A4" w:rsidRDefault="009E7E41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340B4EA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 педиатра без </w:t>
      </w:r>
      <w:r>
        <w:rPr>
          <w:rFonts w:cs="Times New Roman"/>
          <w:b/>
          <w:bCs/>
          <w:lang w:val="ru-RU"/>
        </w:rPr>
        <w:t>ограничения</w:t>
      </w:r>
      <w:bookmarkStart w:id="7" w:name="_Hlk41416103"/>
      <w:bookmarkEnd w:id="7"/>
    </w:p>
    <w:p w14:paraId="64692D6D" w14:textId="77777777" w:rsidR="00A265A4" w:rsidRDefault="009E7E41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>
        <w:rPr>
          <w:rFonts w:cs="Times New Roman"/>
          <w:b/>
          <w:bCs/>
          <w:kern w:val="2"/>
          <w:lang w:val="ru-RU"/>
        </w:rPr>
        <w:t>8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>аллерголога-иммунолога, гастроэнтеролога, гинеколога, дерматолога, кардиолога, невролога, отоларинго</w:t>
      </w:r>
      <w:r>
        <w:rPr>
          <w:rFonts w:cs="Times New Roman"/>
          <w:kern w:val="2"/>
          <w:lang w:val="ru-RU"/>
        </w:rPr>
        <w:t xml:space="preserve">лога, офтальмолога, травматолога-ортопеда, уролога, физиотерапевта, хирурга, эндокринолога; </w:t>
      </w:r>
    </w:p>
    <w:p w14:paraId="3200A630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</w:t>
      </w:r>
      <w:r>
        <w:rPr>
          <w:rFonts w:cs="Times New Roman"/>
          <w:lang w:val="ru-RU"/>
        </w:rPr>
        <w:t>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5DF44605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</w:t>
      </w:r>
      <w:r>
        <w:rPr>
          <w:rFonts w:cs="Times New Roman"/>
          <w:lang w:val="ru-RU"/>
        </w:rPr>
        <w:t xml:space="preserve">; ультразвуковые исследования (кроме пункций под УЗ экранированием). </w:t>
      </w:r>
      <w:proofErr w:type="spellStart"/>
      <w:r>
        <w:rPr>
          <w:rFonts w:cs="Times New Roman"/>
          <w:lang w:val="ru-RU"/>
        </w:rPr>
        <w:t>нейросонография</w:t>
      </w:r>
      <w:proofErr w:type="spellEnd"/>
      <w:r>
        <w:rPr>
          <w:rFonts w:cs="Times New Roman"/>
          <w:lang w:val="ru-RU"/>
        </w:rPr>
        <w:t xml:space="preserve">; ЭКГ; ЭЭГ; исследование функции внешнего дыхания; </w:t>
      </w:r>
      <w:bookmarkEnd w:id="15"/>
    </w:p>
    <w:p w14:paraId="7F2F0BB3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</w:t>
      </w:r>
      <w:r>
        <w:rPr>
          <w:rFonts w:cs="Times New Roman"/>
          <w:lang w:val="ru-RU"/>
        </w:rPr>
        <w:t>е более 10 процедур), перевязки, наложение гипсовых повязок;</w:t>
      </w:r>
      <w:bookmarkStart w:id="16" w:name="_Hlk49345548"/>
      <w:bookmarkEnd w:id="16"/>
    </w:p>
    <w:p w14:paraId="4AE0C2B8" w14:textId="77777777" w:rsidR="00A265A4" w:rsidRPr="009E7E41" w:rsidRDefault="009E7E41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2B9AEDE1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</w:t>
      </w:r>
      <w:r>
        <w:rPr>
          <w:rFonts w:cs="Times New Roman"/>
          <w:b/>
          <w:bCs/>
          <w:lang w:val="ru-RU"/>
        </w:rPr>
        <w:t xml:space="preserve">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71A48CD4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</w:t>
      </w:r>
      <w:r>
        <w:rPr>
          <w:rFonts w:cs="Times New Roman"/>
          <w:lang w:val="ru-RU"/>
        </w:rPr>
        <w:t xml:space="preserve">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</w:t>
      </w:r>
      <w:r>
        <w:rPr>
          <w:rFonts w:cs="Times New Roman"/>
          <w:lang w:val="ru-RU"/>
        </w:rPr>
        <w:t>правки для получения путевки в санаторий (№ 070у), оформление рецептов (кроме льготных).</w:t>
      </w:r>
      <w:bookmarkEnd w:id="18"/>
    </w:p>
    <w:p w14:paraId="50BB94C7" w14:textId="77777777" w:rsidR="00A265A4" w:rsidRDefault="00A265A4">
      <w:pPr>
        <w:jc w:val="both"/>
        <w:rPr>
          <w:rFonts w:cs="Times New Roman"/>
          <w:lang w:val="ru-RU"/>
        </w:rPr>
      </w:pPr>
    </w:p>
    <w:p w14:paraId="4747888F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1E4EAFDE" w14:textId="77777777" w:rsidR="00A265A4" w:rsidRDefault="009E7E41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</w:t>
      </w:r>
      <w:r>
        <w:rPr>
          <w:rFonts w:cs="Times New Roman"/>
          <w:lang w:val="ru-RU"/>
        </w:rPr>
        <w:t xml:space="preserve">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</w:t>
      </w:r>
      <w:r>
        <w:rPr>
          <w:rFonts w:cs="Times New Roman"/>
          <w:lang w:val="ru-RU"/>
        </w:rPr>
        <w:t>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4BBD89ED" w14:textId="77777777" w:rsidR="00A265A4" w:rsidRDefault="009E7E41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263990"/>
      <w:bookmarkStart w:id="21" w:name="_Hlk49345588"/>
      <w:bookmarkEnd w:id="20"/>
      <w:bookmarkEnd w:id="21"/>
    </w:p>
    <w:p w14:paraId="41611E5E" w14:textId="77777777" w:rsidR="00A265A4" w:rsidRDefault="00A265A4">
      <w:pPr>
        <w:jc w:val="both"/>
        <w:rPr>
          <w:rFonts w:cs="Times New Roman"/>
          <w:lang w:val="ru-RU"/>
        </w:rPr>
      </w:pPr>
    </w:p>
    <w:p w14:paraId="45D6CAC0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</w:t>
      </w:r>
      <w:r>
        <w:rPr>
          <w:rFonts w:cs="Times New Roman"/>
          <w:bCs/>
          <w:iCs/>
          <w:lang w:val="ru-RU"/>
        </w:rPr>
        <w:t>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</w:t>
      </w:r>
      <w:r>
        <w:rPr>
          <w:rFonts w:cs="Times New Roman"/>
          <w:bCs/>
          <w:iCs/>
          <w:lang w:val="ru-RU"/>
        </w:rPr>
        <w:t xml:space="preserve"> индивидуальному календарю прививок.</w:t>
      </w:r>
    </w:p>
    <w:p w14:paraId="5C2CEFFB" w14:textId="77777777" w:rsidR="00A265A4" w:rsidRDefault="00A265A4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42FF4DEB" w14:textId="77777777" w:rsidR="00A265A4" w:rsidRPr="009E7E41" w:rsidRDefault="009E7E41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575D1320" w14:textId="77777777" w:rsidR="00A265A4" w:rsidRDefault="009E7E41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A265A4" w14:paraId="68E97BB1" w14:textId="77777777">
        <w:tc>
          <w:tcPr>
            <w:tcW w:w="3588" w:type="dxa"/>
            <w:shd w:val="clear" w:color="auto" w:fill="auto"/>
          </w:tcPr>
          <w:p w14:paraId="28B39BE7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0D70A844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35F3E6C9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A265A4" w14:paraId="4A209254" w14:textId="77777777">
        <w:tc>
          <w:tcPr>
            <w:tcW w:w="3588" w:type="dxa"/>
            <w:shd w:val="clear" w:color="auto" w:fill="auto"/>
          </w:tcPr>
          <w:p w14:paraId="603B2ADD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58E839E6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60020FAF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A265A4" w14:paraId="4B1C74E8" w14:textId="77777777">
        <w:tc>
          <w:tcPr>
            <w:tcW w:w="3588" w:type="dxa"/>
            <w:shd w:val="clear" w:color="auto" w:fill="auto"/>
          </w:tcPr>
          <w:p w14:paraId="5E9A6D9E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 1 </w:t>
            </w:r>
            <w:r>
              <w:rPr>
                <w:rFonts w:cs="Times New Roman"/>
                <w:lang w:val="ru-RU"/>
              </w:rPr>
              <w:t>месяца до 1 года</w:t>
            </w:r>
          </w:p>
        </w:tc>
        <w:tc>
          <w:tcPr>
            <w:tcW w:w="1937" w:type="dxa"/>
            <w:shd w:val="clear" w:color="auto" w:fill="auto"/>
          </w:tcPr>
          <w:p w14:paraId="656C1CB7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7F967BE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1DBDCB6A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153160E6" w14:textId="77777777" w:rsidR="00A265A4" w:rsidRDefault="009E7E41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225F24A8" w14:textId="77777777" w:rsidR="00A265A4" w:rsidRDefault="009E7E4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70E1759" w14:textId="77777777" w:rsidR="00A265A4" w:rsidRDefault="00A265A4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A265A4" w14:paraId="48F250DA" w14:textId="77777777">
        <w:tc>
          <w:tcPr>
            <w:tcW w:w="1670" w:type="dxa"/>
            <w:shd w:val="clear" w:color="auto" w:fill="auto"/>
          </w:tcPr>
          <w:p w14:paraId="32A294C3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2231D81B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Осмотр </w:t>
            </w:r>
            <w:r>
              <w:rPr>
                <w:rFonts w:cs="Times New Roman"/>
                <w:b/>
                <w:bCs/>
                <w:lang w:val="ru-RU"/>
              </w:rPr>
              <w:t>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6D3C406C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3B806D6A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A265A4" w:rsidRPr="009E7E41" w14:paraId="5086608C" w14:textId="77777777">
        <w:tc>
          <w:tcPr>
            <w:tcW w:w="1670" w:type="dxa"/>
            <w:shd w:val="clear" w:color="auto" w:fill="auto"/>
          </w:tcPr>
          <w:p w14:paraId="131490C4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17027351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540EA22C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50705138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7FE8A602" w14:textId="77777777" w:rsidR="00A265A4" w:rsidRDefault="009E7E41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1B35A4AC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73FB1D64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03A38D67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34745680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6E273B2C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</w:t>
            </w:r>
            <w:r>
              <w:rPr>
                <w:rFonts w:cs="Times New Roman"/>
                <w:lang w:val="ru-RU"/>
              </w:rPr>
              <w:t>(</w:t>
            </w:r>
            <w:proofErr w:type="spellStart"/>
            <w:r>
              <w:rPr>
                <w:rFonts w:cs="Times New Roman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99" w:type="dxa"/>
            <w:shd w:val="clear" w:color="auto" w:fill="auto"/>
          </w:tcPr>
          <w:p w14:paraId="7215FC8B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:rsidRPr="009E7E41" w14:paraId="3B454047" w14:textId="77777777">
        <w:tc>
          <w:tcPr>
            <w:tcW w:w="1670" w:type="dxa"/>
            <w:shd w:val="clear" w:color="auto" w:fill="auto"/>
          </w:tcPr>
          <w:p w14:paraId="4E32C50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0CBDAC82" w14:textId="77777777" w:rsidR="00A265A4" w:rsidRDefault="00A265A4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638FC094" w14:textId="77777777" w:rsidR="00A265A4" w:rsidRDefault="00A265A4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1CDBE74D" w14:textId="77777777" w:rsidR="00A265A4" w:rsidRPr="009E7E41" w:rsidRDefault="009E7E41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A265A4" w14:paraId="2647F7B8" w14:textId="77777777">
        <w:tc>
          <w:tcPr>
            <w:tcW w:w="1670" w:type="dxa"/>
            <w:shd w:val="clear" w:color="auto" w:fill="auto"/>
          </w:tcPr>
          <w:p w14:paraId="6ABFAC52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5642BF66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59B57E53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22BC20ED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14:paraId="022426EC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31F71C9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7010C962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4F0AB075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68205C15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3C797AD4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1B69F1C2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4A6C51AE" w14:textId="77777777" w:rsidR="00A265A4" w:rsidRDefault="00A265A4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8864E83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137ECA50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3FF5E6A1" w14:textId="77777777" w:rsidR="00A265A4" w:rsidRDefault="00A265A4">
      <w:pPr>
        <w:jc w:val="both"/>
        <w:rPr>
          <w:rFonts w:cs="Times New Roman"/>
          <w:lang w:val="ru-RU"/>
        </w:rPr>
      </w:pPr>
    </w:p>
    <w:p w14:paraId="579D7F7D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5030B673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77D44406" w14:textId="77777777" w:rsidR="00A265A4" w:rsidRDefault="009E7E41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Календарь </w:t>
      </w:r>
      <w:r>
        <w:rPr>
          <w:rFonts w:cs="Times New Roman"/>
          <w:b/>
          <w:bCs/>
          <w:lang w:val="ru-RU"/>
        </w:rPr>
        <w:t>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A265A4" w14:paraId="3B2B29F7" w14:textId="77777777">
        <w:tc>
          <w:tcPr>
            <w:tcW w:w="3170" w:type="dxa"/>
            <w:shd w:val="clear" w:color="auto" w:fill="auto"/>
            <w:vAlign w:val="center"/>
          </w:tcPr>
          <w:p w14:paraId="254289C0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4AB5010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A265A4" w:rsidRPr="009E7E41" w14:paraId="53F3ABDF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01F5AC65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48E352FE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A265A4" w:rsidRPr="009E7E41" w14:paraId="0233EE4D" w14:textId="77777777">
        <w:tc>
          <w:tcPr>
            <w:tcW w:w="3170" w:type="dxa"/>
            <w:shd w:val="clear" w:color="auto" w:fill="auto"/>
          </w:tcPr>
          <w:p w14:paraId="46157370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3FFA58F8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A265A4" w:rsidRPr="009E7E41" w14:paraId="7FBFF15D" w14:textId="77777777">
        <w:tc>
          <w:tcPr>
            <w:tcW w:w="3170" w:type="dxa"/>
            <w:shd w:val="clear" w:color="auto" w:fill="auto"/>
          </w:tcPr>
          <w:p w14:paraId="1D49A909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2DE6866E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 xml:space="preserve">Первая </w:t>
            </w:r>
            <w:r>
              <w:t>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A265A4" w:rsidRPr="009E7E41" w14:paraId="672FFAC0" w14:textId="77777777">
        <w:tc>
          <w:tcPr>
            <w:tcW w:w="3170" w:type="dxa"/>
            <w:shd w:val="clear" w:color="auto" w:fill="auto"/>
          </w:tcPr>
          <w:p w14:paraId="019B80F6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45AF20BA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6A8764B9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A265A4" w:rsidRPr="009E7E41" w14:paraId="36C7C11E" w14:textId="77777777">
        <w:tc>
          <w:tcPr>
            <w:tcW w:w="3170" w:type="dxa"/>
            <w:shd w:val="clear" w:color="auto" w:fill="auto"/>
          </w:tcPr>
          <w:p w14:paraId="36B38705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204F9A8B" w14:textId="77777777" w:rsidR="00A265A4" w:rsidRDefault="00A26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8E8842A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7B23058A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</w:t>
            </w:r>
            <w:r>
              <w:rPr>
                <w:rFonts w:cs="Times New Roman"/>
                <w:lang w:val="ru-RU"/>
              </w:rPr>
              <w:t xml:space="preserve">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9986783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14:paraId="3E50A6C5" w14:textId="77777777">
        <w:tc>
          <w:tcPr>
            <w:tcW w:w="3170" w:type="dxa"/>
            <w:shd w:val="clear" w:color="auto" w:fill="auto"/>
          </w:tcPr>
          <w:p w14:paraId="28485C0A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7AFFB1B0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A265A4" w:rsidRPr="009E7E41" w14:paraId="22F82706" w14:textId="77777777">
        <w:tc>
          <w:tcPr>
            <w:tcW w:w="3170" w:type="dxa"/>
            <w:shd w:val="clear" w:color="auto" w:fill="auto"/>
          </w:tcPr>
          <w:p w14:paraId="371ABAE5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1780A92D" w14:textId="77777777" w:rsidR="00A265A4" w:rsidRDefault="00A265A4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3DE6EFDA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5F8C4321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4FDE972" w14:textId="77777777" w:rsidR="00A265A4" w:rsidRDefault="009E7E41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Профилактические прививки проводится только в условиях </w:t>
      </w:r>
      <w:r>
        <w:rPr>
          <w:rFonts w:cs="Times New Roman"/>
          <w:lang w:val="ru-RU"/>
        </w:rPr>
        <w:t>поликлиники.</w:t>
      </w:r>
    </w:p>
    <w:p w14:paraId="3BF19334" w14:textId="77777777" w:rsidR="00A265A4" w:rsidRDefault="009E7E41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3DA91519" w14:textId="77777777" w:rsidR="00A265A4" w:rsidRDefault="009E7E41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A9B2671" w14:textId="77777777" w:rsidR="00A265A4" w:rsidRDefault="00A265A4">
      <w:pPr>
        <w:tabs>
          <w:tab w:val="left" w:pos="924"/>
        </w:tabs>
        <w:rPr>
          <w:rFonts w:cs="Times New Roman"/>
          <w:lang w:val="ru-RU"/>
        </w:rPr>
      </w:pPr>
    </w:p>
    <w:p w14:paraId="4D1E8608" w14:textId="77777777" w:rsidR="00A265A4" w:rsidRPr="009E7E41" w:rsidRDefault="009E7E41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2708B79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478487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</w:t>
      </w:r>
      <w:r>
        <w:rPr>
          <w:rFonts w:cs="Times New Roman"/>
          <w:lang w:val="ru-RU"/>
        </w:rPr>
        <w:t>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6581D06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Медицинские услуги оказываются в соответствии с режимом работы Поликлиники с 8.00 </w:t>
      </w:r>
      <w:r>
        <w:rPr>
          <w:rFonts w:cs="Times New Roman"/>
          <w:lang w:val="ru-RU"/>
        </w:rPr>
        <w:t>до 22.00 без выходных.</w:t>
      </w:r>
    </w:p>
    <w:p w14:paraId="4025F0D1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A944823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Врач - педиатр или менеджер сопровождения договора связывается с Законным представителем в течении 2-3 дней с момента подписа</w:t>
      </w:r>
      <w:r>
        <w:rPr>
          <w:rFonts w:cs="Times New Roman"/>
          <w:lang w:val="ru-RU"/>
        </w:rPr>
        <w:t xml:space="preserve">ния договора и внесения денежных средств по телефону, и согласовывает дату первого патронажного посещения новорожденного. </w:t>
      </w:r>
    </w:p>
    <w:p w14:paraId="75A021C1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>Запись на прием к врачу в клинику осуществляется через круглосуточный контакт центр: +7(495) 925-88-78, через личный кабинет на сайте</w:t>
      </w:r>
      <w:r>
        <w:rPr>
          <w:rFonts w:cs="Times New Roman"/>
          <w:lang w:val="ru-RU"/>
        </w:rPr>
        <w:t xml:space="preserve">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1B3BEE6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</w:t>
      </w:r>
      <w:r>
        <w:rPr>
          <w:rFonts w:cs="Times New Roman"/>
          <w:lang w:val="ru-RU"/>
        </w:rPr>
        <w:t>: +7(495) 730-21-31</w:t>
      </w:r>
    </w:p>
    <w:p w14:paraId="65361160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66458AE8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4EEC9DD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</w:t>
      </w:r>
      <w:r>
        <w:rPr>
          <w:rFonts w:cs="Times New Roman"/>
          <w:lang w:val="ru-RU"/>
        </w:rPr>
        <w:t>дничные дни.</w:t>
      </w:r>
    </w:p>
    <w:p w14:paraId="27C2E61F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B030DFF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F3CEE91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</w:t>
      </w:r>
      <w:r>
        <w:rPr>
          <w:color w:val="auto"/>
          <w:szCs w:val="24"/>
        </w:rPr>
        <w:t xml:space="preserve">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1F98FF21" w14:textId="77777777" w:rsidR="00A265A4" w:rsidRDefault="009E7E41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4B804F48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должен своевременно (не позднее 20.00 дня, идущего перед днем оказания услуг на дому) известить </w:t>
      </w:r>
      <w:r>
        <w:rPr>
          <w:rFonts w:cs="Times New Roman"/>
          <w:lang w:val="ru-RU"/>
        </w:rPr>
        <w:t>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</w:t>
      </w:r>
      <w:r>
        <w:rPr>
          <w:rFonts w:cs="Times New Roman"/>
          <w:lang w:val="ru-RU"/>
        </w:rPr>
        <w:t xml:space="preserve"> Пациенту на общих основаниях по согласованию сторон в условиях Поликлиники или на дому.</w:t>
      </w:r>
    </w:p>
    <w:p w14:paraId="146E6323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</w:t>
      </w:r>
      <w:r>
        <w:rPr>
          <w:rFonts w:cs="Times New Roman"/>
          <w:lang w:val="ru-RU"/>
        </w:rPr>
        <w:t>иента.</w:t>
      </w:r>
    </w:p>
    <w:p w14:paraId="69DDF15B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02812061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</w:t>
      </w:r>
      <w:r>
        <w:rPr>
          <w:color w:val="auto"/>
          <w:szCs w:val="24"/>
        </w:rPr>
        <w:t>обращается к врачу - педиатру или менеджеру по сопровождению.</w:t>
      </w:r>
    </w:p>
    <w:p w14:paraId="2EC3E76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C9237A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осмотры врачами-специалистами при необходимости применения аппаратных методов </w:t>
      </w:r>
      <w:r>
        <w:rPr>
          <w:rFonts w:cs="Times New Roman"/>
          <w:lang w:val="ru-RU"/>
        </w:rPr>
        <w:t>диагностики и другого поликлинического оборудования проводятся только в условиях поликлиники.</w:t>
      </w:r>
    </w:p>
    <w:p w14:paraId="006E30EE" w14:textId="77777777" w:rsidR="00A265A4" w:rsidRPr="009E7E41" w:rsidRDefault="009E7E41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E57C878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</w:t>
      </w:r>
      <w:r>
        <w:rPr>
          <w:color w:val="auto"/>
          <w:szCs w:val="24"/>
        </w:rPr>
        <w:t xml:space="preserve">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</w:t>
      </w:r>
      <w:r>
        <w:rPr>
          <w:color w:val="auto"/>
          <w:szCs w:val="24"/>
        </w:rPr>
        <w:t>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8B26B4E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</w:t>
      </w:r>
      <w:r>
        <w:rPr>
          <w:color w:val="auto"/>
          <w:szCs w:val="24"/>
        </w:rPr>
        <w:t xml:space="preserve"> быть изменены по медицинским показаниям на индивидуальный график.</w:t>
      </w:r>
    </w:p>
    <w:p w14:paraId="5FCB47CB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</w:t>
      </w:r>
      <w:r>
        <w:rPr>
          <w:bCs/>
          <w:color w:val="auto"/>
          <w:szCs w:val="24"/>
        </w:rPr>
        <w:t>людающим педиатром по медицинским показаниям на индивидуальные сроки проведения диспансерных мероприятий.</w:t>
      </w:r>
    </w:p>
    <w:p w14:paraId="148E1EA3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</w:t>
      </w:r>
      <w:r>
        <w:rPr>
          <w:bCs/>
          <w:color w:val="auto"/>
          <w:szCs w:val="24"/>
        </w:rPr>
        <w:t xml:space="preserve">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2B3A13F4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</w:t>
      </w:r>
      <w:r>
        <w:rPr>
          <w:color w:val="auto"/>
          <w:szCs w:val="24"/>
        </w:rPr>
        <w:t>удования проводятся в условиях поликлиники (Программа комплексного медицинского обслуживания от 0 месяцев до 1 года).</w:t>
      </w:r>
    </w:p>
    <w:p w14:paraId="6E1C4F14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</w:t>
      </w:r>
      <w:r>
        <w:rPr>
          <w:color w:val="auto"/>
          <w:szCs w:val="24"/>
        </w:rPr>
        <w:t>лактических прививок только в условиях поликлиники.</w:t>
      </w:r>
    </w:p>
    <w:p w14:paraId="4F12B17E" w14:textId="77777777" w:rsidR="00A265A4" w:rsidRDefault="009E7E41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B301919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</w:t>
      </w:r>
      <w:r>
        <w:rPr>
          <w:color w:val="auto"/>
          <w:szCs w:val="24"/>
        </w:rPr>
        <w:t>циента с сотрудниками Поликлиники производится в корректной форме.</w:t>
      </w:r>
    </w:p>
    <w:p w14:paraId="1F3FA442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</w:t>
      </w:r>
      <w:r>
        <w:rPr>
          <w:color w:val="auto"/>
          <w:szCs w:val="24"/>
        </w:rPr>
        <w:t>дур и манипуляций, назначенных врачом и врачами-консультантами).</w:t>
      </w:r>
    </w:p>
    <w:p w14:paraId="678D3916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D3FB47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</w:t>
      </w:r>
      <w:r>
        <w:rPr>
          <w:rFonts w:cs="Times New Roman"/>
          <w:lang w:val="ru-RU"/>
        </w:rPr>
        <w:t>ое обслуживание Законный представитель Пациента</w:t>
      </w:r>
    </w:p>
    <w:p w14:paraId="725B970D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3EBEB9C5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</w:t>
      </w:r>
      <w:r>
        <w:rPr>
          <w:rFonts w:cs="Times New Roman"/>
          <w:lang w:val="ru-RU"/>
        </w:rPr>
        <w:t xml:space="preserve">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35E991B5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</w:t>
      </w:r>
      <w:r>
        <w:rPr>
          <w:rFonts w:cs="Times New Roman"/>
          <w:lang w:val="ru-RU"/>
        </w:rPr>
        <w:t>онических заболеваниях, требующих динамического наблюдения и клинико-лабораторного контроля.</w:t>
      </w:r>
    </w:p>
    <w:p w14:paraId="5C87B01B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5C7BF677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</w:t>
      </w:r>
      <w:r>
        <w:rPr>
          <w:rFonts w:cs="Times New Roman"/>
          <w:lang w:val="ru-RU"/>
        </w:rPr>
        <w:t xml:space="preserve">                           </w:t>
      </w:r>
    </w:p>
    <w:p w14:paraId="1AAB1A56" w14:textId="77777777" w:rsidR="00A265A4" w:rsidRDefault="009E7E41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11E0652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</w:t>
      </w:r>
      <w:r>
        <w:rPr>
          <w:rFonts w:cs="Times New Roman"/>
          <w:lang w:val="ru-RU"/>
        </w:rPr>
        <w:t>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67E550A7" w14:textId="77777777" w:rsidR="00A265A4" w:rsidRDefault="00A265A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635400D7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ДОПОЛНИТЕЛЬНЫЕ СЕРВИСНЫЕ УСЛУГИ, ВХОДЯЩИЕ В ПРОГРАММУ МЕДИЦ</w:t>
      </w:r>
      <w:r>
        <w:rPr>
          <w:rFonts w:cs="Times New Roman"/>
          <w:b/>
          <w:lang w:val="ru-RU"/>
        </w:rPr>
        <w:t xml:space="preserve">ИНСКОГО ОБСЛУЖИВАНИЯ: </w:t>
      </w:r>
    </w:p>
    <w:p w14:paraId="28B120B5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2E40891C" w14:textId="77777777" w:rsidR="00A265A4" w:rsidRDefault="009E7E41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7CD8CA57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23D75D46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</w:t>
      </w:r>
      <w:r>
        <w:rPr>
          <w:rFonts w:cs="Times New Roman"/>
          <w:b/>
          <w:bCs/>
          <w:iCs/>
          <w:kern w:val="2"/>
          <w:lang w:val="ru-RU"/>
        </w:rPr>
        <w:t>сяце жизни (</w:t>
      </w:r>
      <w:r>
        <w:rPr>
          <w:rFonts w:cs="Times New Roman"/>
          <w:iCs/>
          <w:shd w:val="clear" w:color="auto" w:fill="FFFFFF"/>
          <w:lang w:val="ru-RU"/>
        </w:rPr>
        <w:t xml:space="preserve">Организация режима Пациента, рекомендации по выбору </w:t>
      </w:r>
      <w:proofErr w:type="spellStart"/>
      <w:r>
        <w:rPr>
          <w:rFonts w:cs="Times New Roman"/>
          <w:iCs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shd w:val="clear" w:color="auto" w:fill="FFFFFF"/>
          <w:lang w:val="ru-RU"/>
        </w:rPr>
        <w:t xml:space="preserve">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18220F0A" w14:textId="77777777" w:rsidR="00A265A4" w:rsidRPr="009E7E41" w:rsidRDefault="009E7E41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6DA7A67B" w14:textId="77777777" w:rsidR="00A265A4" w:rsidRDefault="009E7E41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</w:t>
      </w:r>
      <w:r>
        <w:rPr>
          <w:rFonts w:cs="Times New Roman"/>
          <w:b/>
          <w:color w:val="000000" w:themeColor="text1"/>
          <w:lang w:val="ru-RU"/>
        </w:rPr>
        <w:t>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3AAB132" w14:textId="77777777" w:rsidR="00A265A4" w:rsidRPr="009E7E41" w:rsidRDefault="009E7E41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</w:t>
      </w:r>
      <w:r>
        <w:rPr>
          <w:rFonts w:cs="Times New Roman"/>
          <w:bCs/>
          <w:color w:val="000000" w:themeColor="text1"/>
          <w:lang w:val="ru-RU"/>
        </w:rPr>
        <w:t xml:space="preserve">ваемые в профилактических целях, медицинские услуги, рекомендованные сторонними медицинскими учреждениями; </w:t>
      </w:r>
    </w:p>
    <w:p w14:paraId="565CB663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DCDCB0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</w:t>
      </w:r>
      <w:r>
        <w:rPr>
          <w:rFonts w:cs="Times New Roman"/>
          <w:bCs/>
          <w:color w:val="000000" w:themeColor="text1"/>
          <w:lang w:val="x-none"/>
        </w:rPr>
        <w:t>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1AF2CE4C" w14:textId="77777777" w:rsidR="00A265A4" w:rsidRDefault="00A265A4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6FE0EBA9" w14:textId="77777777" w:rsidR="00A265A4" w:rsidRDefault="009E7E41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22BD9920" w14:textId="77777777" w:rsidR="00A265A4" w:rsidRPr="009E7E41" w:rsidRDefault="009E7E41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lang w:val="ru-RU"/>
        </w:rPr>
        <w:t>), доброкачественные новообразования.</w:t>
      </w:r>
    </w:p>
    <w:p w14:paraId="5EA8154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Врожденные аномалии </w:t>
      </w:r>
      <w:r>
        <w:rPr>
          <w:rFonts w:cs="Times New Roman"/>
          <w:bCs/>
          <w:color w:val="000000" w:themeColor="text1"/>
          <w:lang w:val="ru-RU"/>
        </w:rPr>
        <w:t>(пороки развития), деформации и хромосомные нарушения; наследственные заболевания.</w:t>
      </w:r>
    </w:p>
    <w:p w14:paraId="7145F90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</w:t>
      </w:r>
      <w:r>
        <w:rPr>
          <w:rFonts w:cs="Times New Roman"/>
          <w:bCs/>
          <w:color w:val="000000" w:themeColor="text1"/>
          <w:lang w:val="ru-RU"/>
        </w:rPr>
        <w:t>е паралитические синдромы; расстройства психологического развития (аутизм и прочие).</w:t>
      </w:r>
    </w:p>
    <w:p w14:paraId="2470258A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7D5CF36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71F383B2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</w:t>
      </w:r>
      <w:r>
        <w:rPr>
          <w:rFonts w:cs="Times New Roman"/>
          <w:bCs/>
          <w:color w:val="000000" w:themeColor="text1"/>
          <w:lang w:val="ru-RU"/>
        </w:rPr>
        <w:t>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610417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</w:t>
      </w:r>
      <w:r>
        <w:rPr>
          <w:rFonts w:cs="Times New Roman"/>
          <w:bCs/>
          <w:color w:val="000000" w:themeColor="text1"/>
          <w:lang w:val="ru-RU"/>
        </w:rPr>
        <w:t>радки и другие особо опасные инфекции согласно нормативным документам органов управления здравоохранением).</w:t>
      </w:r>
    </w:p>
    <w:p w14:paraId="58AC718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A8C5F8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</w:t>
      </w:r>
      <w:r>
        <w:rPr>
          <w:rFonts w:cs="Times New Roman"/>
          <w:bCs/>
          <w:color w:val="000000" w:themeColor="text1"/>
          <w:lang w:val="ru-RU"/>
        </w:rPr>
        <w:t>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</w:t>
      </w:r>
      <w:r>
        <w:rPr>
          <w:rFonts w:cs="Times New Roman"/>
          <w:bCs/>
          <w:color w:val="000000" w:themeColor="text1"/>
          <w:lang w:val="ru-RU"/>
        </w:rPr>
        <w:t>езни, возникшие вследствие употребления указанных веществ.</w:t>
      </w:r>
    </w:p>
    <w:p w14:paraId="263A6257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28DB6D56" w14:textId="77777777" w:rsidR="00A265A4" w:rsidRDefault="009E7E41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4FE4BE5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тугоухость и другие потери слуха.</w:t>
      </w:r>
    </w:p>
    <w:p w14:paraId="2AB246E4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456633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5129B66F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Поверхностные</w:t>
      </w:r>
      <w:r>
        <w:rPr>
          <w:rFonts w:cs="Times New Roman"/>
          <w:bCs/>
          <w:color w:val="000000" w:themeColor="text1"/>
          <w:lang w:val="ru-RU"/>
        </w:rPr>
        <w:t xml:space="preserve"> и глубокие микозы, </w:t>
      </w:r>
      <w:proofErr w:type="spellStart"/>
      <w:r>
        <w:rPr>
          <w:rFonts w:cs="Times New Roman"/>
          <w:bCs/>
          <w:color w:val="000000" w:themeColor="text1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48489EA9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24FB872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607D6B4A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</w:t>
      </w:r>
      <w:r>
        <w:rPr>
          <w:rFonts w:cs="Times New Roman"/>
          <w:bCs/>
          <w:color w:val="000000" w:themeColor="text1"/>
          <w:lang w:val="ru-RU"/>
        </w:rPr>
        <w:t>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689DA9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31938B21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</w:t>
      </w:r>
      <w:r>
        <w:rPr>
          <w:rFonts w:cs="Times New Roman"/>
          <w:bCs/>
          <w:color w:val="000000" w:themeColor="text1"/>
          <w:lang w:val="ru-RU"/>
        </w:rPr>
        <w:t xml:space="preserve"> инвалидности.</w:t>
      </w:r>
    </w:p>
    <w:p w14:paraId="044D3447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20DB3F9E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Динамическое наблюдение при фиброзно-кистозной мастопатии (после установления диагноза); исследования и наблюдения при нарушении эндокринных ж</w:t>
      </w:r>
      <w:r>
        <w:rPr>
          <w:rFonts w:cs="Times New Roman"/>
          <w:bCs/>
          <w:color w:val="000000" w:themeColor="text1"/>
          <w:lang w:val="ru-RU"/>
        </w:rPr>
        <w:t xml:space="preserve">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1624503D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A2704B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Вальгусная</w:t>
      </w:r>
      <w:r>
        <w:rPr>
          <w:rFonts w:cs="Times New Roman"/>
          <w:bCs/>
          <w:color w:val="000000" w:themeColor="text1"/>
          <w:lang w:val="ru-RU"/>
        </w:rPr>
        <w:t xml:space="preserve">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15EC77B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</w:t>
      </w:r>
      <w:r>
        <w:rPr>
          <w:rFonts w:cs="Times New Roman"/>
          <w:bCs/>
          <w:color w:val="000000" w:themeColor="text1"/>
          <w:lang w:val="ru-RU"/>
        </w:rPr>
        <w:t>а любой степени, ожоги 3Б-4 степени, отморожения 3-4 степени</w:t>
      </w:r>
    </w:p>
    <w:p w14:paraId="2BB9406F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7CE9A874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</w:t>
      </w:r>
      <w:r>
        <w:rPr>
          <w:rFonts w:cs="Times New Roman"/>
          <w:bCs/>
          <w:color w:val="000000" w:themeColor="text1"/>
          <w:lang w:val="ru-RU"/>
        </w:rPr>
        <w:t>могут являться основанием для установления группы инвалидности, в т.ч. для подготовки посыльного листа во ВТЭК или МСЭ;</w:t>
      </w:r>
    </w:p>
    <w:p w14:paraId="2AF06AF2" w14:textId="77777777" w:rsidR="00A265A4" w:rsidRDefault="00A265A4">
      <w:pPr>
        <w:jc w:val="both"/>
        <w:rPr>
          <w:rFonts w:cs="Times New Roman"/>
          <w:lang w:val="ru-RU"/>
        </w:rPr>
      </w:pPr>
    </w:p>
    <w:p w14:paraId="644382AE" w14:textId="77777777" w:rsidR="00A265A4" w:rsidRDefault="009E7E41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0CF932F8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</w:t>
      </w:r>
      <w:r>
        <w:rPr>
          <w:rFonts w:cs="Times New Roman"/>
          <w:lang w:val="ru-RU"/>
        </w:rPr>
        <w:t>ного представителя или представителя, не предусмотренные программой.</w:t>
      </w:r>
    </w:p>
    <w:p w14:paraId="4F24FAD5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8B793B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</w:t>
      </w:r>
      <w:r>
        <w:rPr>
          <w:rFonts w:cs="Times New Roman"/>
          <w:lang w:val="ru-RU"/>
        </w:rPr>
        <w:t xml:space="preserve">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lang w:val="ru-RU"/>
        </w:rPr>
        <w:t>невусы</w:t>
      </w:r>
      <w:proofErr w:type="spellEnd"/>
      <w:r>
        <w:rPr>
          <w:rFonts w:cs="Times New Roman"/>
          <w:lang w:val="ru-RU"/>
        </w:rPr>
        <w:t>, липомы, вросший ноготь, выпадение волос и</w:t>
      </w:r>
      <w:r>
        <w:rPr>
          <w:rFonts w:cs="Times New Roman"/>
          <w:lang w:val="ru-RU"/>
        </w:rPr>
        <w:t xml:space="preserve"> т.д.); </w:t>
      </w:r>
      <w:proofErr w:type="spellStart"/>
      <w:r>
        <w:rPr>
          <w:rFonts w:cs="Times New Roman"/>
          <w:lang w:val="ru-RU"/>
        </w:rPr>
        <w:t>склеротерапия</w:t>
      </w:r>
      <w:proofErr w:type="spellEnd"/>
      <w:r>
        <w:rPr>
          <w:rFonts w:cs="Times New Roman"/>
          <w:lang w:val="ru-RU"/>
        </w:rPr>
        <w:t xml:space="preserve"> варикозной болезни вен; коррекция веса; коррекция речи.</w:t>
      </w:r>
    </w:p>
    <w:p w14:paraId="15A9F719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4792EFC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Методы диагностики и лечения, относ</w:t>
      </w:r>
      <w:r>
        <w:rPr>
          <w:rFonts w:cs="Times New Roman"/>
          <w:lang w:val="ru-RU"/>
        </w:rPr>
        <w:t xml:space="preserve">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</w:t>
      </w:r>
      <w:r>
        <w:rPr>
          <w:rFonts w:cs="Times New Roman"/>
          <w:lang w:val="ru-RU"/>
        </w:rPr>
        <w:t>инистерством здравоохранения к применению.</w:t>
      </w:r>
    </w:p>
    <w:p w14:paraId="280C362A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7786C11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lang w:val="ru-RU"/>
        </w:rPr>
        <w:t>плазмоферез</w:t>
      </w:r>
      <w:proofErr w:type="spellEnd"/>
      <w:r>
        <w:rPr>
          <w:rFonts w:cs="Times New Roman"/>
          <w:lang w:val="ru-RU"/>
        </w:rPr>
        <w:t xml:space="preserve">, гемосорбция, </w:t>
      </w:r>
      <w:proofErr w:type="spellStart"/>
      <w:r>
        <w:rPr>
          <w:rFonts w:cs="Times New Roman"/>
          <w:lang w:val="ru-RU"/>
        </w:rPr>
        <w:t>гемофильтрация</w:t>
      </w:r>
      <w:proofErr w:type="spellEnd"/>
      <w:r>
        <w:rPr>
          <w:rFonts w:cs="Times New Roman"/>
          <w:lang w:val="ru-RU"/>
        </w:rPr>
        <w:t>, ультрафиолетовое и лазерное облучени</w:t>
      </w:r>
      <w:r>
        <w:rPr>
          <w:rFonts w:cs="Times New Roman"/>
          <w:lang w:val="ru-RU"/>
        </w:rPr>
        <w:t>е крови, озонирование и др.</w:t>
      </w:r>
    </w:p>
    <w:p w14:paraId="07A9CB40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</w:t>
      </w:r>
      <w:r>
        <w:rPr>
          <w:rFonts w:cs="Times New Roman"/>
          <w:lang w:val="ru-RU"/>
        </w:rPr>
        <w:t>саж; гидроколонотерапия; тренажеры; солярий; бассейн; сауна; мануальная терапия; рефлексотерапия, ударно-волновая терапия.</w:t>
      </w:r>
    </w:p>
    <w:p w14:paraId="17E7058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14CBFD7D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70C8580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</w:t>
      </w:r>
      <w:r>
        <w:rPr>
          <w:rFonts w:cs="Times New Roman"/>
          <w:lang w:val="ru-RU"/>
        </w:rPr>
        <w:t xml:space="preserve">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</w:t>
      </w:r>
      <w:r>
        <w:rPr>
          <w:rFonts w:cs="Times New Roman"/>
          <w:lang w:val="ru-RU"/>
        </w:rPr>
        <w:t>рения.</w:t>
      </w:r>
    </w:p>
    <w:p w14:paraId="50E630E1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29EDF8E3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</w:t>
      </w:r>
      <w:r>
        <w:rPr>
          <w:rFonts w:cs="Times New Roman"/>
          <w:b/>
          <w:bCs/>
          <w:lang w:val="ru-RU"/>
        </w:rPr>
        <w:t>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2971EB71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</w:t>
      </w:r>
      <w:r>
        <w:rPr>
          <w:rFonts w:cs="Times New Roman"/>
          <w:lang w:val="ru-RU"/>
        </w:rPr>
        <w:t>ие, плановые малые хирургические операции.</w:t>
      </w:r>
    </w:p>
    <w:p w14:paraId="126212C3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57768BF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79E48DB8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Иммунологические исследов</w:t>
      </w:r>
      <w:r>
        <w:rPr>
          <w:rFonts w:cs="Times New Roman"/>
          <w:lang w:val="ru-RU"/>
        </w:rPr>
        <w:t xml:space="preserve">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</w:t>
      </w:r>
      <w:proofErr w:type="spellStart"/>
      <w:r>
        <w:rPr>
          <w:rFonts w:cs="Times New Roman"/>
          <w:lang w:val="ru-RU"/>
        </w:rPr>
        <w:t>онкомаркеры</w:t>
      </w:r>
      <w:proofErr w:type="spellEnd"/>
      <w:r>
        <w:rPr>
          <w:rFonts w:cs="Times New Roman"/>
          <w:lang w:val="ru-RU"/>
        </w:rPr>
        <w:t xml:space="preserve">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501DC9DF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Иммунопрофилактика вакцинами, не входящими в национа</w:t>
      </w:r>
      <w:r>
        <w:rPr>
          <w:rFonts w:cs="Times New Roman"/>
          <w:b/>
          <w:bCs/>
          <w:lang w:val="ru-RU"/>
        </w:rPr>
        <w:t xml:space="preserve">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21D65DEF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</w:t>
      </w:r>
      <w:r>
        <w:rPr>
          <w:rFonts w:cs="Times New Roman"/>
          <w:lang w:val="ru-RU"/>
        </w:rPr>
        <w:t xml:space="preserve">казании медицинских услуг (протезы, эндопротезы, имплантаты, </w:t>
      </w:r>
      <w:proofErr w:type="spellStart"/>
      <w:r>
        <w:rPr>
          <w:rFonts w:cs="Times New Roman"/>
          <w:lang w:val="ru-RU"/>
        </w:rPr>
        <w:t>стенты</w:t>
      </w:r>
      <w:proofErr w:type="spellEnd"/>
      <w:r>
        <w:rPr>
          <w:rFonts w:cs="Times New Roman"/>
          <w:lang w:val="ru-RU"/>
        </w:rPr>
        <w:t xml:space="preserve"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</w:t>
      </w:r>
      <w:r>
        <w:rPr>
          <w:rFonts w:cs="Times New Roman"/>
          <w:lang w:val="ru-RU"/>
        </w:rPr>
        <w:t>предназначенные для ухода за больными, включая средства личной гигиены.</w:t>
      </w:r>
    </w:p>
    <w:p w14:paraId="37DE5F35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68F755BC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</w:t>
      </w:r>
      <w:r>
        <w:rPr>
          <w:rFonts w:cs="Times New Roman"/>
          <w:lang w:val="ru-RU"/>
        </w:rPr>
        <w:t xml:space="preserve"> и специалистов, отсутствующих в сети</w:t>
      </w:r>
    </w:p>
    <w:p w14:paraId="73A0F33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</w:t>
      </w:r>
      <w:r>
        <w:rPr>
          <w:rFonts w:cs="Times New Roman"/>
          <w:lang w:val="ru-RU"/>
        </w:rPr>
        <w:t xml:space="preserve"> оформлением санаторно-курортных карт.</w:t>
      </w:r>
      <w:bookmarkStart w:id="30" w:name="_Hlk49354163"/>
      <w:bookmarkEnd w:id="30"/>
    </w:p>
    <w:p w14:paraId="009EC69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49268145"/>
      <w:bookmarkStart w:id="32" w:name="_Hlk31705562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663476D3" w14:textId="77777777" w:rsidR="00A265A4" w:rsidRPr="009E7E41" w:rsidRDefault="00A265A4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65A4" w14:paraId="195180E9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F67CE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AFDFF0A" w14:textId="77777777" w:rsidR="00A265A4" w:rsidRPr="009E7E41" w:rsidRDefault="00A265A4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1D2DD4C3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9E7E41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E7E41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0248042D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4E2D4" w14:textId="77777777" w:rsidR="00A265A4" w:rsidRDefault="009E7E41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450EA680" w14:textId="77777777" w:rsidR="00A265A4" w:rsidRDefault="00A265A4">
            <w:pPr>
              <w:rPr>
                <w:rFonts w:cs="Times New Roman"/>
                <w:sz w:val="18"/>
                <w:szCs w:val="18"/>
              </w:rPr>
            </w:pPr>
          </w:p>
          <w:p w14:paraId="5E1651EB" w14:textId="77777777" w:rsidR="00A265A4" w:rsidRDefault="009E7E41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6CB2AA2" w14:textId="77777777" w:rsidR="00A265A4" w:rsidRDefault="00A265A4">
      <w:pPr>
        <w:jc w:val="both"/>
      </w:pPr>
    </w:p>
    <w:sectPr w:rsidR="00A265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4D2"/>
    <w:multiLevelType w:val="multilevel"/>
    <w:tmpl w:val="390CE9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F777179"/>
    <w:multiLevelType w:val="multilevel"/>
    <w:tmpl w:val="22EAF60C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A46AD4"/>
    <w:multiLevelType w:val="multilevel"/>
    <w:tmpl w:val="2A06903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59F05FC"/>
    <w:multiLevelType w:val="multilevel"/>
    <w:tmpl w:val="AC76C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3E6ED0"/>
    <w:multiLevelType w:val="multilevel"/>
    <w:tmpl w:val="BDD4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5833"/>
    <w:multiLevelType w:val="multilevel"/>
    <w:tmpl w:val="C936C8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0F6B36"/>
    <w:multiLevelType w:val="multilevel"/>
    <w:tmpl w:val="8E2A45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A4"/>
    <w:rsid w:val="009E7E41"/>
    <w:rsid w:val="00A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29F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character" w:customStyle="1" w:styleId="ListLabel89">
    <w:name w:val="ListLabel 89"/>
    <w:qFormat/>
    <w:rPr>
      <w:b/>
      <w:bCs/>
      <w:strike w:val="0"/>
      <w:dstrike w:val="0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b/>
      <w:bCs/>
    </w:rPr>
  </w:style>
  <w:style w:type="character" w:customStyle="1" w:styleId="ListLabel92">
    <w:name w:val="ListLabel 92"/>
    <w:qFormat/>
    <w:rPr>
      <w:rFonts w:cs="Wingdings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b/>
      <w:bCs/>
      <w:strike w:val="0"/>
      <w:dstrike w:val="0"/>
    </w:rPr>
  </w:style>
  <w:style w:type="character" w:customStyle="1" w:styleId="ListLabel103">
    <w:name w:val="ListLabel 103"/>
    <w:qFormat/>
    <w:rPr>
      <w:rFonts w:cs="Times New Roman"/>
      <w:color w:val="auto"/>
    </w:rPr>
  </w:style>
  <w:style w:type="character" w:customStyle="1" w:styleId="ListLabel104">
    <w:name w:val="ListLabel 104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3406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2024-09-18T11:57:00Z</dcterms:created>
  <dcterms:modified xsi:type="dcterms:W3CDTF">2024-09-18T11:57:00Z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