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№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1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 Договору №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________</w:t>
      </w:r>
      <w:r>
        <w:rPr>
          <w:rFonts w:cs="Times New Roman" w:ascii="Times New Roman" w:hAnsi="Times New Roman"/>
          <w:sz w:val="24"/>
          <w:szCs w:val="24"/>
          <w:lang w:val="en-US"/>
        </w:rPr>
        <w:t>__</w:t>
      </w:r>
      <w:r>
        <w:rPr>
          <w:rFonts w:cs="Times New Roman" w:ascii="Times New Roman" w:hAnsi="Times New Roman"/>
          <w:sz w:val="24"/>
          <w:szCs w:val="24"/>
        </w:rPr>
        <w:t>________202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360"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>
      <w:pPr>
        <w:pStyle w:val="Normal"/>
        <w:widowControl w:val="false"/>
        <w:suppressAutoHyphens w:val="true"/>
        <w:spacing w:lineRule="auto" w:line="240" w:before="0" w:after="0"/>
        <w:ind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«ДОЧКИ-СЫНОЧКИ» СТАНДАРТ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(дети от 7 лет до 17 лет)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Стоимость программы 6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ar-SA"/>
        </w:rPr>
        <w:t>9 000 рублей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В случае обслуживания застрахованных клиентов Заказчика, проживающих </w:t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за пределами МКАД и в Московской области, вводятся повышающие коэффициенты на программу медицинского обслуживания:</w:t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tbl>
      <w:tblPr>
        <w:tblW w:w="10332" w:type="dxa"/>
        <w:jc w:val="start"/>
        <w:tblInd w:w="-572" w:type="dxa"/>
        <w:tblLayout w:type="fixed"/>
        <w:tblCellMar>
          <w:top w:w="0" w:type="dxa"/>
          <w:start w:w="103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672"/>
        <w:gridCol w:w="2660"/>
      </w:tblGrid>
      <w:tr>
        <w:trPr/>
        <w:tc>
          <w:tcPr>
            <w:tcW w:w="7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15 км от МКАД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1,2</w:t>
            </w:r>
          </w:p>
        </w:tc>
      </w:tr>
      <w:tr>
        <w:trPr/>
        <w:tc>
          <w:tcPr>
            <w:tcW w:w="7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30 км от МКАД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cs="Times New Roman" w:ascii="Times New Roman" w:hAnsi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yle19"/>
        <w:widowControl w:val="false"/>
        <w:numPr>
          <w:ilvl w:val="0"/>
          <w:numId w:val="4"/>
        </w:numPr>
        <w:ind w:hanging="426" w:start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 клинике 10 приемов;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к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онсультация педиатра онлайн — без ограничений;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Приемы, осмотры, консультации врачами специалистами по назначению врача-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 xml:space="preserve">педиатра не более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8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 xml:space="preserve">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cs="Times New Roman" w:ascii="Times New Roman" w:hAnsi="Times New Roman"/>
          <w:b/>
          <w:bCs/>
          <w:sz w:val="24"/>
          <w:szCs w:val="24"/>
        </w:rPr>
        <w:t>врача</w:t>
      </w:r>
      <w:bookmarkEnd w:id="3"/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общеклинические (общий анализ крови 3 раза+общий анализ мочи 3 раза);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-биохимические (10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</w:t>
      </w:r>
      <w:bookmarkStart w:id="5" w:name="_Hlk40799007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бактериологические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Микробиологическое (культуральное) исследование мазка из зева на палочку дифтерии; Культуральные исследования на стрептококк группы A; Исследование ректального мазка (фекалий) на колипатогенную группу; Посев на флору и чувствительность к антибиотикам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ru-RU"/>
        </w:rPr>
        <w:t>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bookmarkEnd w:id="5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(всего 3 показателя)</w:t>
      </w:r>
      <w:bookmarkStart w:id="6" w:name="_Hlk33517575"/>
      <w:bookmarkEnd w:id="6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-гистологические (по 5 показателей каждого наименования);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-серологические (3 показателя);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b w:val="false"/>
          <w:bCs w:val="false"/>
          <w:lang w:val="ru-RU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Инструментальные методы диагностики: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-ультразвуковые исследования (3 исследования за период обслуживания);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-рентген, ЭКГ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sz w:val="24"/>
          <w:szCs w:val="24"/>
        </w:rPr>
      </w:pPr>
      <w:bookmarkStart w:id="7" w:name="_Hlk49345548_Копия_1"/>
      <w:bookmarkStart w:id="8" w:name="_Hlk49345548"/>
      <w:bookmarkEnd w:id="7"/>
      <w:bookmarkEnd w:id="8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ургентные малые хирургические операции, ЛОР-заболевания курсовое лечение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 — без ограничений;</w:t>
      </w:r>
      <w:bookmarkStart w:id="9" w:name="_Hlk49345548_Копия_1"/>
      <w:bookmarkEnd w:id="9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Физиотерапевтическое лечение:</w:t>
      </w:r>
      <w:r>
        <w:rPr>
          <w:rFonts w:cs="Times New Roman" w:ascii="Times New Roman" w:hAnsi="Times New Roman"/>
          <w:sz w:val="24"/>
          <w:szCs w:val="24"/>
        </w:rPr>
        <w:t xml:space="preserve"> электролечение, светолечение, теплолечение, лазеротерапия, магнитотерапия, фонофорез - суммарно до 10 процедур за период годового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прикрепления;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Классический лечебный массаж в поликлинике</w:t>
      </w:r>
      <w:r>
        <w:rPr>
          <w:rFonts w:cs="Times New Roman" w:ascii="Times New Roman" w:hAnsi="Times New Roman"/>
          <w:sz w:val="24"/>
          <w:szCs w:val="24"/>
        </w:rPr>
        <w:t xml:space="preserve"> 1 курс (до 10 процедур) в течение годового прикрепления.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cs="Times New Roman" w:ascii="Times New Roman" w:hAnsi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_Копия_1"/>
      <w:bookmarkEnd w:id="10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2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оформление справки ф. № 079/у для лагеря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</w:t>
      </w:r>
      <w:bookmarkEnd w:id="11"/>
    </w:p>
    <w:p>
      <w:pPr>
        <w:pStyle w:val="Normal"/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widowControl w:val="false"/>
        <w:numPr>
          <w:ilvl w:val="0"/>
          <w:numId w:val="4"/>
        </w:numPr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cs="Times New Roman" w:ascii="Times New Roman" w:hAnsi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cs="Times New Roman" w:ascii="Times New Roman" w:hAnsi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x-none" w:eastAsia="ar-SA"/>
        </w:rPr>
      </w:r>
    </w:p>
    <w:p>
      <w:pPr>
        <w:pStyle w:val="Style19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59" w:before="0" w:after="160"/>
        <w:ind w:hanging="0" w:start="0" w:end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val="ru-RU"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ПЛАНОВАЯ ДИСПАНСЕРИЗАЦИЯ </w:t>
      </w:r>
      <w:r>
        <w:rPr>
          <w:rFonts w:cs="Times New Roman" w:ascii="Times New Roman" w:hAnsi="Times New Roman"/>
          <w:b/>
          <w:sz w:val="24"/>
          <w:szCs w:val="24"/>
        </w:rPr>
        <w:t xml:space="preserve">с 7 до 17 </w:t>
      </w:r>
      <w:r>
        <w:rPr>
          <w:rFonts w:cs="Times New Roman" w:ascii="Times New Roman" w:hAnsi="Times New Roman"/>
          <w:b/>
          <w:sz w:val="24"/>
          <w:szCs w:val="24"/>
        </w:rPr>
        <w:t>лет – однократно за период действия программы</w:t>
      </w:r>
    </w:p>
    <w:tbl>
      <w:tblPr>
        <w:tblStyle w:val="af8"/>
        <w:tblW w:w="9476" w:type="dxa"/>
        <w:jc w:val="start"/>
        <w:tblInd w:w="-1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38"/>
        <w:gridCol w:w="2137"/>
        <w:gridCol w:w="2488"/>
        <w:gridCol w:w="2213"/>
      </w:tblGrid>
      <w:tr>
        <w:trPr/>
        <w:tc>
          <w:tcPr>
            <w:tcW w:w="263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7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>
        <w:trPr/>
        <w:tc>
          <w:tcPr>
            <w:tcW w:w="263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7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гинеколог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стоматолог</w:t>
            </w:r>
          </w:p>
        </w:tc>
        <w:tc>
          <w:tcPr>
            <w:tcW w:w="248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ЭКГ</w:t>
            </w:r>
          </w:p>
        </w:tc>
      </w:tr>
    </w:tbl>
    <w:p>
      <w:pPr>
        <w:pStyle w:val="ListParagraph"/>
        <w:spacing w:lineRule="auto" w:line="240" w:before="0" w:after="0"/>
        <w:ind w:firstLine="37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28"/>
        <w:gridCol w:w="5948"/>
      </w:tblGrid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проба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Манту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8 до 15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Диаскинтест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ревакцинация против дифтерии, столбняка , полиомиелита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Дети с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924" w:leader="none"/>
        </w:tabs>
        <w:spacing w:lineRule="auto" w:line="240" w:before="0" w:after="0"/>
        <w:ind w:hanging="0" w:start="0"/>
        <w:jc w:val="star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Профилактические прививки проводится только в условиях поликлиники.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firstLine="3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СТАНДАРТ ДЛЯ ДЕТЕЙ В ВОЗРАСТЕ ОТ 7 ДО 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ЛЕТ: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cs="Times New Roman" w:ascii="Times New Roman" w:hAnsi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/>
      </w:pPr>
      <w:bookmarkStart w:id="15" w:name="_Hlk49264722"/>
      <w:bookmarkStart w:id="16" w:name="_Hlk49509904"/>
      <w:r>
        <w:rPr>
          <w:rFonts w:cs="Times New Roman" w:ascii="Times New Roman" w:hAnsi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+7(495) 925-88-78, через личный кабинет  на сайте </w:t>
      </w:r>
      <w:hyperlink r:id="rId2">
        <w:r>
          <w:rPr>
            <w:rStyle w:val="Style7"/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3">
        <w:r>
          <w:rPr>
            <w:rStyle w:val="Style7"/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6"/>
      <w:r>
        <w:rPr>
          <w:rFonts w:cs="Times New Roman" w:ascii="Times New Roman" w:hAnsi="Times New Roman"/>
          <w:sz w:val="24"/>
          <w:szCs w:val="24"/>
        </w:rPr>
        <w:t xml:space="preserve">  </w:t>
      </w:r>
      <w:bookmarkEnd w:id="15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 на дом по заболеванию принимается по телефону: +7(495) </w:t>
      </w:r>
      <w:r>
        <w:rPr>
          <w:rFonts w:cs="Times New Roman" w:ascii="Times New Roman" w:hAnsi="Times New Roman"/>
          <w:sz w:val="24"/>
          <w:szCs w:val="24"/>
        </w:rPr>
        <w:t>925-88-78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вызовов осуществляется с 9:00 до 21:00.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на дому осуществляется 7 дней в неделю включая праздничные дни.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jc w:val="star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cs="Times New Roman" w:ascii="Times New Roman" w:hAnsi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t>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Законный представитель Пациента </w:t>
      </w:r>
      <w:r>
        <w:rPr>
          <w:rStyle w:val="CommentReference"/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фетопатия, нарушение мозгового кровообращения 2-3 степени, родовая травма.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Поликлиника оставляет за собой право ввести повышающий коэффициент в случае                                   </w:t>
      </w:r>
    </w:p>
    <w:p>
      <w:pPr>
        <w:pStyle w:val="ListParagraph"/>
        <w:spacing w:lineRule="auto" w:line="240" w:before="0" w:after="0"/>
        <w:ind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hanging="0" w:start="14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240" w:before="0" w:after="0"/>
        <w:ind w:hanging="0" w:start="142"/>
        <w:contextualSpacing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cs="Times New Roman" w:ascii="Times New Roman" w:hAnsi="Times New Roman"/>
          <w:iCs/>
          <w:kern w:val="2"/>
          <w:sz w:val="24"/>
          <w:szCs w:val="24"/>
        </w:rPr>
        <w:t xml:space="preserve">Личный менеджер по сопровождению на весь срок прикрепления 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0" w:leader="none"/>
        </w:tabs>
        <w:spacing w:lineRule="auto" w:line="240" w:before="0" w:after="0"/>
        <w:ind w:hanging="0" w:start="142"/>
        <w:contextualSpacing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cs="Times New Roman" w:ascii="Times New Roman" w:hAnsi="Times New Roman"/>
          <w:iCs/>
          <w:kern w:val="2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9" w:name="_Hlk41498491"/>
      <w:bookmarkEnd w:id="19"/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Программой не оплачиваются следующие медицинские услуги: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;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Следующие заболевания и их последствия не входят в программу обслуживания: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Системные, атрофические, демиелинизирующие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Расстройства сна (включая синдром апное во сне); ронхопатия.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 поражения соединительной ткани (включая ревматические болезни), воспалительные полиартропатии (включая ревматоидный артрит); генерализованный остеоартроз, полиостеоартроз; анкилозирующий спондилит (болезнь Бехтерева).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Глаукома, катаракта, миопия, гиперметропия, астигматизм, заболевания халязиона.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Нейросенсорная тугоухость и другие потери слуха.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Сахарный диабет и его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акариаз.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Туберкулез; саркоидоз; амилоидоз.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Хронические гепатиты, цирроз печени.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являющиеся причиной установления инвалидности.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гиперпролактинэмия, гиперандрогенэмия, поликистоз яичников и т.п.).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Вальгусная и варусная деформация конечностей и суставов; все формы плоскостопия (в том числе с болевым синдромом) без признаков острого артрита и (или) бурсита. деформирующие дорсопатии (кифоз, лордоз, сколиоз, остеохондроз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Все виды инвалидизирующих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>
      <w:pPr>
        <w:pStyle w:val="Normal"/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>
      <w:pPr>
        <w:pStyle w:val="Normal"/>
        <w:suppressAutoHyphens w:val="true"/>
        <w:spacing w:lineRule="auto" w:line="240" w:before="0" w:after="0"/>
        <w:ind w:start="138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Методы диагностики и лечения, относящиеся к традиционной, альтернативной и народной медицине (в том числе гомеопатия, гирудотерапия, фитотерапия, цуботерапия, галотерапия, спелеотерапия);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Молекулярно-генетические исследования; МРТ, КТ, позитронно-эмисионная томография (ПЭТ).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Нормо-, гипер- и гипобарическая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Специфическая иммунотерапия (СИТ), скарификационные пробы</w:t>
      </w:r>
      <w:r>
        <w:rPr>
          <w:rFonts w:eastAsia="Times New Roman" w:cs="Times New Roman" w:ascii="Times New Roman" w:hAnsi="Times New Roman"/>
          <w:strike/>
          <w:sz w:val="24"/>
          <w:szCs w:val="24"/>
          <w:lang w:eastAsia="ar-SA"/>
        </w:rPr>
        <w:t xml:space="preserve">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магнитостимуляция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Стационарозамещающие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Лечебные и диагностические пункции (в т.ч. внутрисуставные), лечебные блокады, удаление полипа, радиоэндоскопическое лечение, плановые малые хирургические операции.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Диспансерное наблюдение;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trike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Иммунологические исследования; аллерготесты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cs="Times New Roman" w:ascii="Times New Roman" w:hAnsi="Times New Roman"/>
          <w:sz w:val="24"/>
          <w:szCs w:val="24"/>
        </w:rPr>
        <w:t xml:space="preserve">анализ кала на углеводы, </w:t>
      </w:r>
      <w:r>
        <w:rPr>
          <w:rFonts w:cs="Times New Roman" w:ascii="Times New Roman" w:hAnsi="Times New Roman"/>
          <w:sz w:val="24"/>
          <w:szCs w:val="24"/>
        </w:rPr>
        <w:t>экспресс-тесты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/>
      </w:r>
      <w:bookmarkStart w:id="22" w:name="_Hlk49531595"/>
      <w:bookmarkStart w:id="23" w:name="_Hlk49531595"/>
      <w:bookmarkEnd w:id="23"/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 w:val="false"/>
        <w:bCs/>
        <w:sz w:val="24"/>
      </w:rPr>
    </w:lvl>
    <w:lvl w:ilvl="1">
      <w:start w:val="9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664" w:hanging="138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80" w:hanging="1380"/>
      </w:pPr>
      <w:rPr>
        <w:rFonts w:ascii="Times New Roman" w:hAnsi="Times New Roman"/>
        <w:b/>
        <w:bCs/>
        <w:i w:val="false"/>
        <w:iCs/>
        <w:strike w:val="false"/>
        <w:dstrike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104" w:hanging="13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824" w:hanging="13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544" w:hanging="13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264" w:hanging="13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4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4" w:hanging="1800"/>
      </w:pPr>
      <w:rPr/>
    </w:lvl>
  </w:abstractNum>
  <w:abstractNum w:abstractNumId="5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>
        <w:b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360" w:hanging="360"/>
      </w:pPr>
      <w:rPr>
        <w:rFonts w:ascii="Times New Roman" w:hAnsi="Times New Roman"/>
        <w:b/>
        <w:strike w:val="false"/>
        <w:dstrike w:val="false"/>
        <w:sz w:val="24"/>
        <w:u w:val="none"/>
        <w:effect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>
        <w:b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>
        <w:b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>
        <w:b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>
        <w:b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>
        <w:b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>
        <w:b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14d7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4">
    <w:name w:val="heading 4"/>
    <w:basedOn w:val="Title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6f2708"/>
    <w:rPr>
      <w:i/>
      <w:iCs/>
    </w:rPr>
  </w:style>
  <w:style w:type="character" w:styleId="Strong">
    <w:name w:val="Strong"/>
    <w:basedOn w:val="DefaultParagraphFont"/>
    <w:uiPriority w:val="22"/>
    <w:qFormat/>
    <w:rsid w:val="006f2708"/>
    <w:rPr>
      <w:b/>
      <w:bCs/>
    </w:rPr>
  </w:style>
  <w:style w:type="character" w:styleId="-user" w:customStyle="1">
    <w:name w:val="Интернет-ссылка (user)"/>
    <w:basedOn w:val="DefaultParagraphFont"/>
    <w:uiPriority w:val="99"/>
    <w:semiHidden/>
    <w:unhideWhenUsed/>
    <w:qFormat/>
    <w:rsid w:val="00d2743e"/>
    <w:rPr>
      <w:color w:val="0000FF"/>
      <w:u w:val="single"/>
    </w:rPr>
  </w:style>
  <w:style w:type="character" w:styleId="Style12" w:customStyle="1">
    <w:name w:val="Выделение жирным"/>
    <w:qFormat/>
    <w:rPr>
      <w:b/>
      <w:bCs/>
    </w:rPr>
  </w:style>
  <w:style w:type="character" w:styleId="ins" w:customStyle="1">
    <w:name w:val="ins"/>
    <w:qFormat/>
    <w:rPr/>
  </w:style>
  <w:style w:type="character" w:styleId="Style13" w:customStyle="1">
    <w:name w:val="Маркеры списка"/>
    <w:qFormat/>
    <w:rPr>
      <w:rFonts w:ascii="OpenSymbol" w:hAnsi="OpenSymbol" w:eastAsia="OpenSymbol" w:cs="OpenSymbol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styleId="Style16" w:customStyle="1">
    <w:name w:val="Тема примечания Знак"/>
    <w:basedOn w:val="Style14"/>
    <w:uiPriority w:val="99"/>
    <w:semiHidden/>
    <w:qFormat/>
    <w:rsid w:val="0082160d"/>
    <w:rPr>
      <w:b/>
      <w:bCs/>
      <w:szCs w:val="20"/>
    </w:rPr>
  </w:style>
  <w:style w:type="character" w:styleId="1" w:customStyle="1">
    <w:name w:val="Заголовок 1 Знак"/>
    <w:basedOn w:val="DefaultParagraphFont"/>
    <w:uiPriority w:val="9"/>
    <w:qFormat/>
    <w:rsid w:val="00a14d7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09711c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27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 w:customStyle="1">
    <w:name w:val="!Ïîäïèñü"/>
    <w:basedOn w:val="Normal"/>
    <w:qFormat/>
    <w:rsid w:val="00880b73"/>
    <w:pPr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val="en-US" w:eastAsia="ru-RU"/>
    </w:rPr>
  </w:style>
  <w:style w:type="paragraph" w:styleId="Style20" w:customStyle="1">
    <w:name w:val="Нормальный (таблица)"/>
    <w:basedOn w:val="Normal"/>
    <w:next w:val="Normal"/>
    <w:uiPriority w:val="99"/>
    <w:qFormat/>
    <w:rsid w:val="00880b73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user" w:customStyle="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838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82160d"/>
    <w:pPr/>
    <w:rPr>
      <w:b/>
      <w:bCs/>
    </w:rPr>
  </w:style>
  <w:style w:type="paragraph" w:styleId="21" w:customStyle="1">
    <w:name w:val="Основной текст 21"/>
    <w:basedOn w:val="Normal"/>
    <w:qFormat/>
    <w:rsid w:val="004c628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0"/>
      <w:lang w:eastAsia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6f27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3"/>
    <w:uiPriority w:val="39"/>
    <w:rsid w:val="001463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ub.ru/" TargetMode="External"/><Relationship Id="rId3" Type="http://schemas.openxmlformats.org/officeDocument/2006/relationships/hyperlink" Target="https://polyclinika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Application>LibreOffice/25.8.7.2$Windows_X86_64 LibreOffice_project/e9cfafff50477fae0fcf42925ebd2aec2bdc5df4</Application>
  <AppVersion>15.0000</AppVersion>
  <DocSecurity>0</DocSecurity>
  <Pages>7</Pages>
  <Words>2241</Words>
  <Characters>16872</Characters>
  <CharactersWithSpaces>18933</CharactersWithSpaces>
  <Paragraphs>156</Paragraphs>
  <Company>GLB-SRV-SCCM-01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2020-08-28T15:14:00Z</dcterms:created>
  <dc:creator>Подгорная Ольга Николаевна</dc:creator>
  <dc:description/>
  <dc:language>ru-RU</dc:language>
  <cp:lastModifiedBy/>
  <dcterms:modified xsi:type="dcterms:W3CDTF">2026-07-03T11:23:45Z</dcterms:modified>
  <cp:revision>137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