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Приложение № 1 к Договору №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________________________2026 г.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firstLine="4706" w:start="340" w:end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360" w:start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«ДОЧКИ-СЫНОЧКИ» ПРЕМЬЕР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 xml:space="preserve"> (дети от 3 лет до 7 лет)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108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Стоимость программы 135 000 рублей</w:t>
      </w:r>
    </w:p>
    <w:p>
      <w:pPr>
        <w:pStyle w:val="Normal"/>
        <w:widowControl w:val="false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4"/>
        </w:numPr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 xml:space="preserve">В случае обслуживания застрахованных клиентов Заказчика, проживающих 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за пределами МКАД и в Московской области, вводятся повышающие коэффициенты на программу медицинского обслуживания:</w:t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</w:r>
    </w:p>
    <w:tbl>
      <w:tblPr>
        <w:tblW w:w="10332" w:type="dxa"/>
        <w:jc w:val="start"/>
        <w:tblInd w:w="-572" w:type="dxa"/>
        <w:tblLayout w:type="fixed"/>
        <w:tblCellMar>
          <w:top w:w="0" w:type="dxa"/>
          <w:start w:w="103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7671"/>
        <w:gridCol w:w="2661"/>
      </w:tblGrid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15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1,2</w:t>
            </w:r>
          </w:p>
        </w:tc>
      </w:tr>
      <w:tr>
        <w:trPr/>
        <w:tc>
          <w:tcPr>
            <w:tcW w:w="7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ar-SA"/>
              </w:rPr>
              <w:t>Вызов на дом за МКАД, в пределах 30 км от МКАД</w:t>
            </w:r>
          </w:p>
        </w:tc>
        <w:tc>
          <w:tcPr>
            <w:tcW w:w="26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ar-SA"/>
              </w:rPr>
              <w:t>1,4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hanging="0" w:start="360"/>
        <w:rPr>
          <w:rFonts w:ascii="Times New Roman" w:hAnsi="Times New Roman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 w:eastAsia="ar-SA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3"/>
        </w:numPr>
        <w:overflowPunct w:val="false"/>
        <w:ind w:hanging="142" w:start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cs="Times New Roman" w:ascii="Times New Roman" w:hAnsi="Times New Roman"/>
          <w:b/>
          <w:bCs/>
          <w:sz w:val="24"/>
          <w:szCs w:val="24"/>
        </w:rPr>
        <w:t>в клинике — без ограничений;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kern w:val="2"/>
          <w:sz w:val="24"/>
          <w:szCs w:val="24"/>
        </w:rPr>
        <w:t>Личный врач-педиатр (только по версии Премьер) консультация с 8.00 до 22.00 — без ограничений;</w:t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Консультация педиатра онлайн — без ограничений;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cs="Times New Roman" w:ascii="Times New Roman" w:hAnsi="Times New Roman"/>
          <w:b/>
          <w:bCs/>
          <w:kern w:val="2"/>
          <w:sz w:val="24"/>
          <w:szCs w:val="24"/>
        </w:rPr>
        <w:t>педиатра не более 15 приемов всего:</w:t>
      </w:r>
      <w:r>
        <w:rPr>
          <w:rFonts w:cs="Times New Roman" w:ascii="Times New Roman" w:hAnsi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</w:r>
      <w:bookmarkStart w:id="1" w:name="_Hlk40798266"/>
      <w:bookmarkStart w:id="2" w:name="_Hlk40798266"/>
      <w:bookmarkEnd w:id="2"/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3" w:name="_Hlk49345398"/>
      <w:r>
        <w:rPr>
          <w:rFonts w:cs="Times New Roman" w:ascii="Times New Roman" w:hAnsi="Times New Roman"/>
          <w:b/>
          <w:bCs/>
          <w:sz w:val="24"/>
          <w:szCs w:val="24"/>
        </w:rPr>
        <w:t>врача</w:t>
      </w:r>
      <w:bookmarkEnd w:id="3"/>
      <w:r>
        <w:rPr>
          <w:rFonts w:cs="Times New Roman" w:ascii="Times New Roman" w:hAnsi="Times New Roman"/>
          <w:b/>
          <w:bCs/>
          <w:sz w:val="24"/>
          <w:szCs w:val="24"/>
        </w:rPr>
        <w:t xml:space="preserve">: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-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общеклинические (общий анализ крови 8 раз+общий анализ мочи 8 раз);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-биохимические (20 показателей);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</w:t>
      </w:r>
      <w:bookmarkStart w:id="4" w:name="_Hlk40799007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бактериологические (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  <w:lang w:val="ru-RU"/>
        </w:rPr>
        <w:t>)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 xml:space="preserve"> </w:t>
      </w:r>
      <w:bookmarkEnd w:id="4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(всего 8 показателей)</w:t>
      </w:r>
      <w:bookmarkStart w:id="5" w:name="_Hlk33517575"/>
      <w:bookmarkEnd w:id="5"/>
      <w:r>
        <w:rPr>
          <w:rFonts w:eastAsia="Calibri" w:cs="Times New Roman" w:ascii="Times New Roman" w:hAnsi="Times New Roman" w:eastAsiaTheme="minorHAnsi"/>
          <w:b w:val="false"/>
          <w:bCs w:val="false"/>
          <w:sz w:val="24"/>
          <w:szCs w:val="24"/>
          <w:lang w:val="ru-RU" w:eastAsia="zh-CN" w:bidi="hi-IN"/>
        </w:rPr>
        <w:t>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-гистологические (без ограничений);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>-серологические (8 показателей);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-иммунологические (5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-ПЦР исследования (кроме молекулярно-генетических) (5 показателей)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(2 показателя)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витамин Д (25-ОН) (1 раз)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-ультразвуковые исследования (8 исследований за период обслуживания); 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-рентген, ЭКГ; ЭЭГ — без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2 раза;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Холтер-мониторинг ЭКГ, СМАД — 2 исследования.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3"/>
        </w:numPr>
        <w:ind w:hanging="0" w:start="0"/>
        <w:jc w:val="both"/>
        <w:rPr>
          <w:sz w:val="24"/>
          <w:szCs w:val="24"/>
        </w:rPr>
      </w:pPr>
      <w:bookmarkStart w:id="6" w:name="_Hlk49345548"/>
      <w:bookmarkEnd w:id="6"/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повязок, ургентные малые хирургические операции — без ограничений;</w:t>
      </w:r>
    </w:p>
    <w:p>
      <w:pPr>
        <w:pStyle w:val="Normal"/>
        <w:numPr>
          <w:ilvl w:val="0"/>
          <w:numId w:val="0"/>
        </w:numPr>
        <w:ind w:hanging="0" w:star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_Hlk49345548_Копия_1"/>
      <w:bookmarkEnd w:id="7"/>
      <w:r>
        <w:rPr>
          <w:rFonts w:ascii="Times New Roman" w:hAnsi="Times New Roman"/>
          <w:b/>
          <w:bCs/>
          <w:sz w:val="24"/>
          <w:szCs w:val="24"/>
        </w:rPr>
        <w:t>Лор-заболевания (курсовое лечение) — 1 курс из 10 процеду</w:t>
      </w:r>
      <w:bookmarkStart w:id="8" w:name="_Hlk49345548_Копия_1_Копия_1"/>
      <w:bookmarkEnd w:id="8"/>
      <w:r>
        <w:rPr>
          <w:rFonts w:ascii="Times New Roman" w:hAnsi="Times New Roman"/>
          <w:b/>
          <w:bCs/>
          <w:sz w:val="24"/>
          <w:szCs w:val="24"/>
        </w:rPr>
        <w:t>р;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Физиотерапевтическое лечение:</w:t>
      </w:r>
      <w:r>
        <w:rPr>
          <w:rFonts w:cs="Times New Roman" w:ascii="Times New Roman" w:hAnsi="Times New Roman"/>
          <w:sz w:val="24"/>
          <w:szCs w:val="24"/>
        </w:rPr>
        <w:t xml:space="preserve"> электролечение, светолечение, теплолечение, лазеротерапия, магнитотерапия, фонофорез — </w:t>
      </w:r>
      <w:bookmarkStart w:id="9" w:name="_Hlk49347174"/>
      <w:r>
        <w:rPr>
          <w:rFonts w:cs="Times New Roman" w:ascii="Times New Roman" w:hAnsi="Times New Roman"/>
          <w:sz w:val="24"/>
          <w:szCs w:val="24"/>
        </w:rPr>
        <w:t>б</w:t>
      </w:r>
      <w:bookmarkEnd w:id="9"/>
      <w:r>
        <w:rPr>
          <w:rFonts w:cs="Times New Roman" w:ascii="Times New Roman" w:hAnsi="Times New Roman"/>
          <w:sz w:val="24"/>
          <w:szCs w:val="24"/>
        </w:rPr>
        <w:t>ез ограничений;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Классический лечебный массаж в поликлинике/на дому (не более 1 курса из 10 процедур в течение годового прикрепления).</w:t>
      </w:r>
    </w:p>
    <w:p>
      <w:pPr>
        <w:pStyle w:val="Normal"/>
        <w:numPr>
          <w:ilvl w:val="0"/>
          <w:numId w:val="0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40797333"/>
      <w:r>
        <w:rPr>
          <w:rFonts w:cs="Times New Roman" w:ascii="Times New Roman" w:hAnsi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11" w:name="_Hlk40797591_Копия_1"/>
      <w:bookmarkStart w:id="12" w:name="_Hlk40797591"/>
      <w:bookmarkEnd w:id="10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1"/>
      <w:bookmarkEnd w:id="12"/>
      <w:r>
        <w:rPr>
          <w:rFonts w:cs="Times New Roman" w:ascii="Times New Roman" w:hAnsi="Times New Roman"/>
          <w:b w:val="false"/>
          <w:bCs w:val="false"/>
          <w:sz w:val="24"/>
          <w:szCs w:val="24"/>
          <w:lang w:val="ru-RU"/>
        </w:rPr>
        <w:t>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1"/>
        <w:widowControl w:val="false"/>
        <w:numPr>
          <w:ilvl w:val="0"/>
          <w:numId w:val="3"/>
        </w:numPr>
        <w:overflowPunct w:val="fals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3" w:name="_Hlk40797385"/>
      <w:bookmarkStart w:id="14" w:name="_Hlk44340180"/>
      <w:bookmarkEnd w:id="13"/>
      <w:bookmarkEnd w:id="14"/>
    </w:p>
    <w:p>
      <w:pPr>
        <w:pStyle w:val="Normal"/>
        <w:spacing w:lineRule="auto" w:line="240" w:before="0" w:after="0"/>
        <w:ind w:hanging="0" w:star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помощь на дому по острому заболеванию не более 7-ми раз</w:t>
      </w:r>
      <w:r>
        <w:rPr>
          <w:rFonts w:cs="Times New Roman" w:ascii="Times New Roman" w:hAnsi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>
      <w:pPr>
        <w:pStyle w:val="Normal"/>
        <w:spacing w:lineRule="auto" w:line="240" w:before="0" w:after="0"/>
        <w:ind w:hanging="0" w:star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5" w:name="_Hlk49263990"/>
      <w:bookmarkEnd w:id="15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3"/>
        </w:numPr>
        <w:overflowPunct w:val="fals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>
      <w:pPr>
        <w:pStyle w:val="Normal"/>
        <w:widowControl/>
        <w:numPr>
          <w:ilvl w:val="0"/>
          <w:numId w:val="0"/>
        </w:numPr>
        <w:bidi w:val="0"/>
        <w:spacing w:lineRule="auto" w:line="259" w:before="0" w:after="160"/>
        <w:ind w:hanging="0" w:start="0" w:end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val="ru-RU"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8"/>
        <w:tblW w:w="934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610"/>
        <w:gridCol w:w="2144"/>
        <w:gridCol w:w="2389"/>
        <w:gridCol w:w="2202"/>
      </w:tblGrid>
      <w:tr>
        <w:trPr/>
        <w:tc>
          <w:tcPr>
            <w:tcW w:w="261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4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3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>
        <w:trPr/>
        <w:tc>
          <w:tcPr>
            <w:tcW w:w="261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4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3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1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4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3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1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 лет</w:t>
            </w:r>
          </w:p>
        </w:tc>
        <w:tc>
          <w:tcPr>
            <w:tcW w:w="214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</w:tc>
        <w:tc>
          <w:tcPr>
            <w:tcW w:w="23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610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44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Офтальмолог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Невролог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травматолог-ортопед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отоларинголог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эндокринолог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гинеколог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психиатр</w:t>
            </w:r>
          </w:p>
        </w:tc>
        <w:tc>
          <w:tcPr>
            <w:tcW w:w="2389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Общий анализ крови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tcBorders/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ЭКГ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органов брюшной полости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сердца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УЗИ почек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0" w:after="0"/>
        <w:ind w:hanging="0" w:star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jc w:val="start"/>
        <w:tblInd w:w="-43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828"/>
        <w:gridCol w:w="5948"/>
      </w:tblGrid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>
        <w:trPr>
          <w:trHeight w:val="3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Реакция Манту (Туберкулин) ежегодно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900" w:hRule="atLeast"/>
        </w:trPr>
        <w:tc>
          <w:tcPr>
            <w:tcW w:w="3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jc w:val="start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Профилактические прививки проводится только в условиях поликлиники.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>
      <w:pPr>
        <w:pStyle w:val="Normal"/>
        <w:widowControl/>
        <w:tabs>
          <w:tab w:val="clear" w:pos="708"/>
          <w:tab w:val="left" w:pos="924" w:leader="none"/>
        </w:tabs>
        <w:suppressAutoHyphens w:val="true"/>
        <w:bidi w:val="0"/>
        <w:spacing w:before="0" w:after="0"/>
        <w:ind w:hanging="0" w:start="-283" w:end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val="ru-RU"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>
      <w:pPr>
        <w:pStyle w:val="Normal"/>
        <w:tabs>
          <w:tab w:val="clear" w:pos="708"/>
          <w:tab w:val="left" w:pos="924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21"/>
        <w:widowControl w:val="false"/>
        <w:numPr>
          <w:ilvl w:val="0"/>
          <w:numId w:val="3"/>
        </w:numPr>
        <w:overflowPunct w:val="fals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ПРЕМЬЕР» ДЛЯ ДЕТЕЙ В ВОЗРАСТЕ ОТ 3 ДО 7 ЛЕТ: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45613450"/>
      <w:r>
        <w:rPr>
          <w:rFonts w:cs="Times New Roman" w:ascii="Times New Roman" w:hAnsi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6"/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+7(495) 925-88-78, через личный кабинет  на сайте </w:t>
      </w:r>
      <w:hyperlink r:id="rId2">
        <w:r>
          <w:rPr>
            <w:rStyle w:val="Style8"/>
            <w:rFonts w:cs="Times New Roman" w:ascii="Times New Roman" w:hAnsi="Times New Roman"/>
            <w:sz w:val="24"/>
            <w:szCs w:val="24"/>
          </w:rPr>
          <w:t>https://lk.zub.ru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3">
        <w:r>
          <w:rPr>
            <w:rStyle w:val="Style8"/>
            <w:rFonts w:cs="Times New Roman" w:ascii="Times New Roman" w:hAnsi="Times New Roman"/>
            <w:sz w:val="24"/>
            <w:szCs w:val="24"/>
          </w:rPr>
          <w:t>https://polyclinika.ru/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Вызов на дом по заболеванию принимается по телефону: +7(495) 925-88-78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вызовов осуществляется с 9:00 до 21:00.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>
      <w:pPr>
        <w:pStyle w:val="ListParagraph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Помощь на дому осуществляется 7 дней в неделю включая праздничные дни.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jc w:val="star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7" w:name="__DdeLink__8341_817890463"/>
      <w:bookmarkEnd w:id="17"/>
      <w:r>
        <w:rPr>
          <w:rFonts w:cs="Times New Roman" w:ascii="Times New Roman" w:hAnsi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57" w:star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57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08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57" w:start="0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>
      <w:pPr>
        <w:pStyle w:val="21"/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0"/>
        <w:rPr>
          <w:color w:val="auto"/>
          <w:szCs w:val="24"/>
        </w:rPr>
      </w:pPr>
      <w:r>
        <w:rPr>
          <w:color w:val="auto"/>
          <w:szCs w:val="24"/>
        </w:rPr>
        <w:t xml:space="preserve">- Туберкулинодиагностика (в соответствии с действующим </w:t>
      </w:r>
      <w:r>
        <w:rPr>
          <w:rFonts w:cs="Times New Roman"/>
          <w:color w:val="auto"/>
          <w:szCs w:val="24"/>
          <w:lang w:val="ru-RU"/>
        </w:rPr>
        <w:t>Приказом от «06» декабря 2021 г. № 1122 н</w:t>
      </w:r>
      <w:r>
        <w:rPr>
          <w:color w:val="auto"/>
          <w:szCs w:val="24"/>
        </w:rPr>
        <w:t>), включая оценку результатов проб, проводится только в условиях поликлиники.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>
      <w:pPr>
        <w:pStyle w:val="21"/>
        <w:numPr>
          <w:ilvl w:val="0"/>
          <w:numId w:val="2"/>
        </w:numPr>
        <w:tabs>
          <w:tab w:val="clear" w:pos="708"/>
          <w:tab w:val="left" w:pos="0" w:leader="none"/>
          <w:tab w:val="left" w:pos="360" w:leader="none"/>
          <w:tab w:val="left" w:pos="1260" w:leader="none"/>
        </w:tabs>
        <w:ind w:hanging="360" w:start="0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>
        <w:rPr>
          <w:color w:val="auto"/>
          <w:szCs w:val="24"/>
        </w:rPr>
        <w:t>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Законный представитель Пациента </w:t>
      </w:r>
      <w:r>
        <w:rPr>
          <w:rStyle w:val="CommentReference"/>
          <w:rFonts w:cs="Times New Roman" w:ascii="Times New Roman" w:hAnsi="Times New Roman"/>
          <w:sz w:val="24"/>
          <w:szCs w:val="24"/>
        </w:rPr>
        <w:t>обязан</w:t>
      </w:r>
      <w:r>
        <w:rPr>
          <w:rFonts w:cs="Times New Roman" w:ascii="Times New Roman" w:hAnsi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>
      <w:pPr>
        <w:pStyle w:val="ListParagraph"/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Поликлиника оставляет за собой право ввести повышающий коэффициент в случае                                   </w:t>
      </w:r>
    </w:p>
    <w:p>
      <w:pPr>
        <w:pStyle w:val="ListParagraph"/>
        <w:spacing w:lineRule="auto" w:line="240" w:before="0" w:after="0"/>
        <w:ind w:hanging="0" w:start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ind w:hanging="360" w:star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согласно пункту указанному в Договоре.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Style21"/>
        <w:widowControl w:val="false"/>
        <w:numPr>
          <w:ilvl w:val="0"/>
          <w:numId w:val="3"/>
        </w:numPr>
        <w:overflowPunct w:val="false"/>
        <w:ind w:hanging="0" w:start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Личный менеджер по сопровождению на весь срок прикрепления; 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360" w:leader="none"/>
          <w:tab w:val="left" w:pos="1260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менеджера;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suppressAutoHyphens w:val="false"/>
        <w:ind w:firstLine="38" w:start="0"/>
        <w:jc w:val="both"/>
        <w:rPr>
          <w:rFonts w:ascii="Times New Roman" w:hAnsi="Times New Roman"/>
          <w:b/>
          <w:bCs/>
          <w:sz w:val="24"/>
          <w:szCs w:val="24"/>
          <w:lang w:val="ru-RU" w:eastAsia="en-US"/>
        </w:rPr>
      </w:pPr>
      <w:bookmarkStart w:id="18" w:name="_Hlk41498491"/>
      <w:bookmarkStart w:id="19" w:name="_Hlk41498491_Копия_1"/>
      <w:bookmarkEnd w:id="18"/>
      <w:bookmarkEnd w:id="19"/>
      <w:r>
        <w:rPr>
          <w:rFonts w:ascii="Times New Roman" w:hAnsi="Times New Roman"/>
          <w:b/>
          <w:bCs/>
          <w:sz w:val="24"/>
          <w:szCs w:val="24"/>
          <w:lang w:val="ru-RU" w:eastAsia="en-US"/>
        </w:rPr>
        <w:t>Связь с зав. Отделением или главным врачом по телефону в будни с 9.00 до 18.00;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0" w:leader="none"/>
        </w:tabs>
        <w:suppressAutoHyphens w:val="false"/>
        <w:ind w:firstLine="38" w:star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ru-RU" w:eastAsia="en-US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kern w:val="2"/>
          <w:sz w:val="24"/>
          <w:szCs w:val="24"/>
        </w:rPr>
        <w:t>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>
      <w:pPr>
        <w:pStyle w:val="Style21"/>
        <w:widowControl w:val="false"/>
        <w:numPr>
          <w:ilvl w:val="0"/>
          <w:numId w:val="3"/>
        </w:numPr>
        <w:overflowPunct w:val="true"/>
        <w:ind w:firstLine="38" w:start="0"/>
        <w:jc w:val="both"/>
        <w:rPr>
          <w:szCs w:val="24"/>
          <w:lang w:val="ru-RU"/>
        </w:rPr>
      </w:pPr>
      <w:r>
        <w:rPr>
          <w:rFonts w:eastAsia="Arial Unicode MS"/>
          <w:lang w:val="ru-RU"/>
        </w:rPr>
        <w:t>Программой не оплачиваются следующие медицинские услуги:</w:t>
      </w:r>
    </w:p>
    <w:p>
      <w:pPr>
        <w:pStyle w:val="Normal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  <w:lang w:val="x-none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  <w:lang w:val="x-none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У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;</w:t>
      </w:r>
      <w:r>
        <w:rPr>
          <w:rFonts w:cs="Times New Roman" w:ascii="Times New Roman" w:hAnsi="Times New Roman"/>
          <w:bCs/>
          <w:color w:themeColor="text1" w:val="000000"/>
          <w:sz w:val="24"/>
          <w:szCs w:val="24"/>
          <w:lang w:val="x-none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Следующие заболевания и их последствия не входят в программу обслуживания: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Расстройства сна (включая синдром апное во сне); ронхопатия.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Глаукома, катаракта, миопия, гиперметропия, астигматизм, заболевания халязиона.</w:t>
      </w:r>
    </w:p>
    <w:p>
      <w:pPr>
        <w:pStyle w:val="Normal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Нейросенсорная тугоухость и другие потери слуха.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Сахарный диабет и его осложнения.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Туберкулез; саркоидоз; амилоидоз.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Хронические гепатиты, цирроз печени.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являющиеся причиной установления инвалидности.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jc w:val="both"/>
        <w:rPr>
          <w:rFonts w:ascii="Times New Roman" w:hAnsi="Times New Roman" w:cs="Times New Roman"/>
          <w:bCs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Cs/>
          <w:color w:themeColor="text1" w:val="000000"/>
          <w:sz w:val="24"/>
          <w:szCs w:val="24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hanging="0" w:start="360"/>
        <w:jc w:val="both"/>
        <w:rPr>
          <w:rFonts w:ascii="Times New Roman" w:hAnsi="Times New Roman" w:eastAsia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>
      <w:pPr>
        <w:pStyle w:val="Normal"/>
        <w:suppressAutoHyphens w:val="true"/>
        <w:spacing w:lineRule="auto" w:line="240" w:before="0" w:after="0"/>
        <w:ind w:hanging="0" w:start="138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ar-SA"/>
        </w:rPr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Молекулярно-генетические исследования; МРТ, КТ, позитронно-эмисионная томография (ПЭТ).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Специфическая иммунотерапия (СИТ), скарификационные пробы</w:t>
      </w:r>
      <w:r>
        <w:rPr>
          <w:rFonts w:eastAsia="Times New Roman" w:cs="Times New Roman" w:ascii="Times New Roman" w:hAnsi="Times New Roman"/>
          <w:strike/>
          <w:sz w:val="24"/>
          <w:szCs w:val="24"/>
          <w:lang w:eastAsia="ar-SA"/>
        </w:rPr>
        <w:t xml:space="preserve"> 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Диспансерное наблюдение; 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trike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в  том числе аппаратные методы 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20" w:name="_Hlk44340467"/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;</w:t>
      </w:r>
      <w:r>
        <w:rPr>
          <w:rFonts w:cs="Times New Roman" w:ascii="Times New Roman" w:hAnsi="Times New Roman"/>
          <w:sz w:val="24"/>
          <w:szCs w:val="24"/>
        </w:rPr>
        <w:t xml:space="preserve"> анализ кала на углеводы, экспресс-тесты;</w:t>
      </w:r>
      <w:bookmarkEnd w:id="20"/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1" w:name="_Hlk49354163"/>
      <w:bookmarkEnd w:id="21"/>
    </w:p>
    <w:p>
      <w:pPr>
        <w:pStyle w:val="Normal"/>
        <w:numPr>
          <w:ilvl w:val="1"/>
          <w:numId w:val="3"/>
        </w:numPr>
        <w:suppressAutoHyphens w:val="true"/>
        <w:spacing w:lineRule="auto" w:line="240" w:before="0" w:after="0"/>
        <w:ind w:hanging="567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22" w:name="_Hlk49268145"/>
      <w:bookmarkEnd w:id="22"/>
    </w:p>
    <w:p>
      <w:pPr>
        <w:pStyle w:val="Normal"/>
        <w:suppressAutoHyphens w:val="true"/>
        <w:spacing w:lineRule="auto" w:line="240" w:before="0" w:after="0"/>
        <w:ind w:hanging="0" w:start="567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Times New Roman CYR">
    <w:charset w:val="cc" w:characterSet="windows-1251"/>
    <w:family w:val="roman"/>
    <w:pitch w:val="variable"/>
  </w:font>
  <w:font w:name="Liberation Mono">
    <w:altName w:val="Courier New"/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9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664" w:hanging="1380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1380" w:hanging="1380"/>
      </w:pPr>
      <w:rPr>
        <w:rFonts w:ascii="Times New Roman" w:hAnsi="Times New Roman"/>
        <w:b/>
        <w:bCs/>
        <w:i w:val="false"/>
        <w:iCs/>
        <w:strike w:val="false"/>
        <w:dstrike w:val="false"/>
        <w:sz w:val="24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3104" w:hanging="13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3824" w:hanging="1380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4544" w:hanging="1380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5264" w:hanging="13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6044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6764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7844" w:hanging="1800"/>
      </w:pPr>
      <w:rPr/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4">
    <w:name w:val="heading 4"/>
    <w:basedOn w:val="Title"/>
    <w:next w:val="BodyText"/>
    <w:qFormat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basedOn w:val="DefaultParagraphFont"/>
    <w:uiPriority w:val="20"/>
    <w:qFormat/>
    <w:rsid w:val="006f2708"/>
    <w:rPr>
      <w:i/>
      <w:iCs/>
    </w:rPr>
  </w:style>
  <w:style w:type="character" w:styleId="Strong">
    <w:name w:val="Strong"/>
    <w:basedOn w:val="DefaultParagraphFont"/>
    <w:uiPriority w:val="22"/>
    <w:qFormat/>
    <w:rsid w:val="006f2708"/>
    <w:rPr>
      <w:b/>
      <w:bCs/>
    </w:rPr>
  </w:style>
  <w:style w:type="character" w:styleId="Hyperlink">
    <w:name w:val="Hyperlink"/>
    <w:unhideWhenUsed/>
    <w:qFormat/>
    <w:rsid w:val="0068711e"/>
    <w:rPr>
      <w:color w:val="000080"/>
      <w:u w:val="single"/>
    </w:rPr>
  </w:style>
  <w:style w:type="character" w:styleId="Style14" w:customStyle="1">
    <w:name w:val="Выделение жирным"/>
    <w:qFormat/>
    <w:rPr>
      <w:b/>
      <w:bCs/>
    </w:rPr>
  </w:style>
  <w:style w:type="character" w:styleId="ins" w:customStyle="1">
    <w:name w:val="ins"/>
    <w:qFormat/>
    <w:rPr/>
  </w:style>
  <w:style w:type="character" w:styleId="Style15" w:customStyle="1">
    <w:name w:val="Маркеры списка"/>
    <w:qFormat/>
    <w:rPr>
      <w:rFonts w:ascii="OpenSymbol" w:hAnsi="OpenSymbol" w:eastAsia="OpenSymbol" w:cs="OpenSymbol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styleId="Style18" w:customStyle="1">
    <w:name w:val="Тема примечания Знак"/>
    <w:basedOn w:val="Style16"/>
    <w:uiPriority w:val="99"/>
    <w:semiHidden/>
    <w:qFormat/>
    <w:rsid w:val="0082160d"/>
    <w:rPr>
      <w:b/>
      <w:bCs/>
      <w:szCs w:val="20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09711c"/>
    <w:pPr>
      <w:spacing w:before="0" w:after="160"/>
      <w:ind w:hanging="0" w:star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6f27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!Ïîäïèñü"/>
    <w:basedOn w:val="Normal"/>
    <w:qFormat/>
    <w:rsid w:val="00880b73"/>
    <w:pPr>
      <w:overflowPunct w:val="true"/>
      <w:spacing w:lineRule="auto" w:line="240" w:before="0" w:after="0"/>
    </w:pPr>
    <w:rPr>
      <w:rFonts w:ascii="Times New Roman" w:hAnsi="Times New Roman" w:eastAsia="Times New Roman" w:cs="Times New Roman"/>
      <w:b/>
      <w:sz w:val="24"/>
      <w:szCs w:val="20"/>
      <w:lang w:val="en-US" w:eastAsia="ru-RU"/>
    </w:rPr>
  </w:style>
  <w:style w:type="paragraph" w:styleId="Style22" w:customStyle="1">
    <w:name w:val="Нормальный (таблица)"/>
    <w:basedOn w:val="Normal"/>
    <w:next w:val="Normal"/>
    <w:uiPriority w:val="99"/>
    <w:qFormat/>
    <w:rsid w:val="00880b73"/>
    <w:pPr>
      <w:widowControl w:val="false"/>
      <w:spacing w:lineRule="auto" w:line="240" w:before="0" w:after="0"/>
      <w:jc w:val="both"/>
    </w:pPr>
    <w:rPr>
      <w:rFonts w:ascii="Times New Roman CYR" w:hAnsi="Times New Roman CYR" w:eastAsia="" w:cs="Times New Roman CYR" w:eastAsiaTheme="minorEastAsia"/>
      <w:sz w:val="24"/>
      <w:szCs w:val="24"/>
      <w:lang w:eastAsia="ru-RU"/>
    </w:rPr>
  </w:style>
  <w:style w:type="paragraph" w:styleId="Style23" w:customStyle="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mmentText">
    <w:name w:val="annotation text"/>
    <w:basedOn w:val="Normal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c838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82160d"/>
    <w:pPr/>
    <w:rPr>
      <w:b/>
      <w:bCs/>
    </w:rPr>
  </w:style>
  <w:style w:type="paragraph" w:styleId="21" w:customStyle="1">
    <w:name w:val="Основной текст 21"/>
    <w:basedOn w:val="Normal"/>
    <w:qFormat/>
    <w:rsid w:val="004c6284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0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3"/>
    <w:uiPriority w:val="39"/>
    <w:rsid w:val="006f27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k.zub.ru/" TargetMode="External"/><Relationship Id="rId3" Type="http://schemas.openxmlformats.org/officeDocument/2006/relationships/hyperlink" Target="https://polyclinika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Application>LibreOffice/25.8.7.2$Windows_X86_64 LibreOffice_project/e9cfafff50477fae0fcf42925ebd2aec2bdc5df4</Application>
  <AppVersion>15.0000</AppVersion>
  <Pages>9</Pages>
  <Words>2655</Words>
  <Characters>19797</Characters>
  <CharactersWithSpaces>22241</CharactersWithSpaces>
  <Paragraphs>196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2020-03-05T14:37:00Z</dcterms:created>
  <dc:creator>Подгорная Ольга Николаевна</dc:creator>
  <dc:description/>
  <dc:language>ru-RU</dc:language>
  <cp:lastModifiedBy/>
  <dcterms:modified xsi:type="dcterms:W3CDTF">2026-07-03T12:45:42Z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