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 xml:space="preserve">Приложение № 1 к Договору № </w:t>
      </w:r>
    </w:p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>От «__» _________________2026 г.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«Академия детского здоровья» Премьер от 0 до 1 года в пределах 10 км от МКАД</w:t>
      </w:r>
    </w:p>
    <w:p>
      <w:pPr>
        <w:pStyle w:val="Normal"/>
        <w:widowControl w:val="false"/>
        <w:ind w:star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>Стоимость программы 2</w:t>
      </w:r>
      <w:r>
        <w:rPr>
          <w:rFonts w:cs="Times New Roman"/>
          <w:b/>
          <w:bCs/>
          <w:lang w:val="ru-RU"/>
        </w:rPr>
        <w:t>00</w:t>
      </w:r>
      <w:r>
        <w:rPr>
          <w:rFonts w:cs="Times New Roman"/>
          <w:b/>
          <w:bCs/>
          <w:lang w:val="ru-RU"/>
        </w:rPr>
        <w:t xml:space="preserve"> 000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jc w:val="both"/>
        <w:rPr>
          <w:lang w:val="ru-RU"/>
        </w:rPr>
      </w:pPr>
      <w:bookmarkStart w:id="0" w:name="_Hlk31705619"/>
      <w:bookmarkStart w:id="1" w:name="_Hlk492628821"/>
      <w:bookmarkStart w:id="2" w:name="_Hlk407977661"/>
      <w:bookmarkStart w:id="3" w:name="_Hlk49262882"/>
      <w:bookmarkStart w:id="4" w:name="_Hlk40797766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>
      <w:pPr>
        <w:pStyle w:val="Normal"/>
        <w:jc w:val="both"/>
        <w:rPr>
          <w:rFonts w:eastAsia="Calibri" w:cs="Times New Roman" w:eastAsiaTheme="minorHAnsi"/>
          <w:lang w:val="ru-RU" w:eastAsia="zh-CN" w:bidi="hi-IN"/>
        </w:rPr>
      </w:pPr>
      <w:r>
        <w:rPr>
          <w:rFonts w:eastAsia="Calibri" w:cs="Times New Roman" w:eastAsiaTheme="minorHAnsi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tabs>
          <w:tab w:val="clear" w:pos="708"/>
          <w:tab w:val="left" w:pos="2400" w:leader="none"/>
          <w:tab w:val="left" w:pos="2880" w:leader="none"/>
        </w:tabs>
        <w:ind w:star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22"/>
        <w:widowControl w:val="false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tbl>
      <w:tblPr>
        <w:tblStyle w:val="afa"/>
        <w:tblW w:w="9975" w:type="dxa"/>
        <w:jc w:val="start"/>
        <w:tblInd w:w="-64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939"/>
        <w:gridCol w:w="1036"/>
      </w:tblGrid>
      <w:tr>
        <w:trPr/>
        <w:tc>
          <w:tcPr>
            <w:tcW w:w="89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kern w:val="0"/>
                <w:lang w:bidi="ar-SA"/>
              </w:rPr>
              <w:t>1.1. Приемы специалистов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</w:tc>
      </w:tr>
      <w:tr>
        <w:trPr>
          <w:trHeight w:val="421" w:hRule="atLeast"/>
        </w:trPr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Врачебный патронаж новорождённого на дому в пределах 10 км от МКАД  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врача-педиатра (дети до 1 года) ( 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6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Консультация врача-педиатра с применением телемедицинских технологий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10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Прием (осмотр, консультация) врача-педиатра первичный, на дому в пределах 10 км от МКАД</w:t>
            </w:r>
            <w:r>
              <w:rPr>
                <w:rFonts w:cs="Times New Roman"/>
                <w:kern w:val="0"/>
                <w:lang w:val="ru-RU" w:bidi="ar-SA"/>
              </w:rPr>
              <w:t xml:space="preserve"> (на проф осмотры)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5</w:t>
            </w:r>
          </w:p>
        </w:tc>
      </w:tr>
      <w:tr>
        <w:trPr/>
        <w:tc>
          <w:tcPr>
            <w:tcW w:w="8939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Прием (осмотр, консультация) врача-педиатра (на дому в случае заболевания)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врача-детского хирурга</w:t>
            </w:r>
            <w:r>
              <w:rPr>
                <w:kern w:val="0"/>
                <w:lang w:eastAsia="ar-SA" w:bidi="ar-SA"/>
              </w:rPr>
              <w:t xml:space="preserve"> ( 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врача-травматолога-ортопеда (для детей) (в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врача-оториноларинголога (у детей) ( 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врача-офтальмолога (у детей) ( 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врача-невролога (у детей)(в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Прием врача стоматолога детского первичный ( в клинике)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Консультации по заболеванию специалистов: невролог, ЛОР, офтальмолог, гастроэнтеролог, аллерголог, хирург, уролог, гинеколог</w:t>
            </w:r>
          </w:p>
        </w:tc>
        <w:tc>
          <w:tcPr>
            <w:tcW w:w="103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9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Медицинское обслуживание на дому медицинской сестрой в пределах 10 км от МКАД (без учета стоимости манипуляций)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CCCCCC"/>
              <w:bottom w:val="single" w:sz="6" w:space="0" w:color="000000"/>
              <w:end w:val="single" w:sz="6" w:space="0" w:color="CCCCCC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1.2. Лабораторная диагностика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Взятие крови из периферической вены (для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мочи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Витамин Д (25-OH) 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1.3. Инструментальная диагностика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Нейросонография (у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Регистрация электрокардиограммы в 12 отведениях , расшифровка , описание и интерпретация электрокардиографических данных (для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Офтальмоскопия под мидриазом (для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Эхокардиография с допплеровским анализом (у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Ультразвуковое исследование почек (у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Ультразвуковое исследование тазобедренных суставов (у детей до года)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Ультразвуковое исследование органов брюшной полости (комплексное) (печень, желчный пузырь, желчные протоки, поджелудочная железа, селезенка) (у детей)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УЗИ в случае заболевания (по назначению врача)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5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1.4. Массаж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массаж медицинский ребенку от 0 до 1 года, 1 курс (на дому)</w:t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8</w:t>
            </w:r>
          </w:p>
        </w:tc>
      </w:tr>
      <w:tr>
        <w:trPr/>
        <w:tc>
          <w:tcPr>
            <w:tcW w:w="893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9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</w:tc>
        <w:tc>
          <w:tcPr>
            <w:tcW w:w="103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0" w:start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>
        <w:rPr>
          <w:rFonts w:cs="Times New Roman"/>
          <w:b/>
          <w:bCs/>
          <w:iCs/>
          <w:sz w:val="28"/>
          <w:szCs w:val="28"/>
          <w:lang w:val="ru-RU"/>
        </w:rPr>
        <w:t>Программа медицинского обслуживания «Академия детского здоровья» Премьер от 0 до 1</w:t>
      </w:r>
      <w:r>
        <w:rPr>
          <w:rFonts w:cs="Times New Roman"/>
          <w:b/>
          <w:bCs/>
          <w:iCs/>
          <w:lang w:val="ru-RU"/>
        </w:rPr>
        <w:t xml:space="preserve"> </w:t>
      </w:r>
      <w:r>
        <w:rPr>
          <w:rFonts w:cs="Times New Roman"/>
          <w:b/>
          <w:bCs/>
          <w:iCs/>
          <w:sz w:val="28"/>
          <w:szCs w:val="28"/>
          <w:lang w:val="ru-RU"/>
        </w:rPr>
        <w:t>года</w:t>
      </w:r>
      <w:r>
        <w:rPr>
          <w:rFonts w:cs="Times New Roman"/>
          <w:b/>
          <w:bCs/>
          <w:iCs/>
          <w:lang w:val="ru-RU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firstLine="57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>
        <w:rPr>
          <w:rFonts w:cs="Times New Roman"/>
          <w:color w:themeColor="text1" w:val="000000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2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lk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zub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</w:hyperlink>
      <w:r>
        <w:rPr>
          <w:rStyle w:val="Hyperlink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3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polyclinika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>
        <w:rPr>
          <w:rFonts w:cs="Times New Roman"/>
          <w:color w:themeColor="text1" w:val="000000"/>
          <w:lang w:val="ru-RU"/>
        </w:rPr>
        <w:t>+7(495) 649-88-78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jc w:val="start"/>
        <w:rPr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>
      <w:pPr>
        <w:pStyle w:val="ListParagraph"/>
        <w:numPr>
          <w:ilvl w:val="0"/>
          <w:numId w:val="2"/>
        </w:numPr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Пациенту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0" w:start="0"/>
        <w:rPr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 за отдельную плату.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CommentReference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Поликлиника оставляет за собой право ввести повышающий коэффициент в случае                                   </w:t>
      </w:r>
    </w:p>
    <w:p>
      <w:pPr>
        <w:pStyle w:val="ListParagraph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b/>
          <w:bCs/>
          <w:kern w:val="2"/>
          <w:lang w:val="ru-RU"/>
        </w:rPr>
        <w:t xml:space="preserve">Плановые осмотры Пациента на дому наблюдающим врачом-педиатром до месяца </w:t>
      </w:r>
      <w:r>
        <w:rPr>
          <w:rFonts w:cs="Times New Roman"/>
          <w:kern w:val="2"/>
          <w:lang w:val="ru-RU"/>
        </w:rPr>
        <w:t xml:space="preserve">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283" w:start="283"/>
        <w:jc w:val="both"/>
        <w:rPr>
          <w:lang w:val="ru-RU"/>
        </w:rPr>
      </w:pPr>
      <w:bookmarkStart w:id="9" w:name="_Hlk414975341"/>
      <w:bookmarkEnd w:id="9"/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fill="FFFFFF" w:val="clear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10" w:name="_Hlk49266480"/>
      <w:bookmarkEnd w:id="10"/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  <w:t>Программой не оплачиваются следующие медицинские услуги:</w:t>
      </w:r>
    </w:p>
    <w:p>
      <w:pPr>
        <w:pStyle w:val="ListParagraph"/>
        <w:ind w:start="360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Normal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У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themeColor="text1" w:val="000000"/>
          <w:sz w:val="22"/>
          <w:szCs w:val="22"/>
          <w:lang w:val="ru-RU"/>
        </w:rPr>
        <w:t>;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 xml:space="preserve"> 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x-none"/>
        </w:rPr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Сахарный диабет и его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Туберкулез; саркоидоз; амилоидоз.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Хронические гепатиты, цирроз печени.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>
      <w:pPr>
        <w:pStyle w:val="Normal"/>
        <w:jc w:val="both"/>
        <w:rPr>
          <w:rFonts w:cs="Times New Roman"/>
          <w:kern w:val="2"/>
          <w:sz w:val="22"/>
          <w:szCs w:val="22"/>
          <w:lang w:val="ru-RU"/>
        </w:rPr>
      </w:pPr>
      <w:r>
        <w:rPr>
          <w:rFonts w:cs="Times New Roman"/>
          <w:kern w:val="2"/>
          <w:sz w:val="22"/>
          <w:szCs w:val="22"/>
          <w:lang w:val="ru-RU"/>
        </w:rPr>
      </w:r>
    </w:p>
    <w:p>
      <w:pPr>
        <w:pStyle w:val="Normal"/>
        <w:numPr>
          <w:ilvl w:val="1"/>
          <w:numId w:val="3"/>
        </w:numPr>
        <w:ind w:firstLine="57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1" w:name="_Hlk49354101"/>
      <w:bookmarkEnd w:id="11"/>
    </w:p>
    <w:p>
      <w:pPr>
        <w:pStyle w:val="Normal"/>
        <w:numPr>
          <w:ilvl w:val="1"/>
          <w:numId w:val="3"/>
        </w:numPr>
        <w:tabs>
          <w:tab w:val="clear" w:pos="708"/>
          <w:tab w:val="left" w:pos="-57" w:leader="none"/>
        </w:tabs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bookmarkStart w:id="12" w:name="_Hlk31705562"/>
      <w:bookmarkStart w:id="13" w:name="_Hlk31705562"/>
      <w:bookmarkEnd w:id="13"/>
    </w:p>
    <w:tbl>
      <w:tblPr>
        <w:tblW w:w="9357" w:type="dxa"/>
        <w:jc w:val="start"/>
        <w:tblInd w:w="0" w:type="dxa"/>
        <w:tblLayout w:type="fixed"/>
        <w:tblCellMar>
          <w:top w:w="55" w:type="dxa"/>
          <w:start w:w="50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4678"/>
        <w:gridCol w:w="4679"/>
      </w:tblGrid>
      <w:tr>
        <w:trPr/>
        <w:tc>
          <w:tcPr>
            <w:tcW w:w="46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_____________________ /Газалова О.А.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Пациент: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4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 CYR">
    <w:charset w:val="cc" w:characterSet="windows-1251"/>
    <w:family w:val="roman"/>
    <w:pitch w:val="variable"/>
  </w:font>
  <w:font w:name="Trebuchet MS"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574" w:hanging="432"/>
      </w:pPr>
      <w:rPr>
        <w:b/>
        <w:bCs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6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b/>
        <w:bCs/>
        <w:strike w:val="false"/>
        <w:dstrike w:val="false"/>
        <w:sz w:val="22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004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146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64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79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292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243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2936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164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6f3df0"/>
    <w:rPr>
      <w:i/>
      <w:iCs/>
    </w:rPr>
  </w:style>
  <w:style w:type="character" w:styleId="Strong">
    <w:name w:val="Strong"/>
    <w:basedOn w:val="DefaultParagraphFont"/>
    <w:uiPriority w:val="22"/>
    <w:qFormat/>
    <w:rsid w:val="00f46e85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b85b5c"/>
    <w:rPr>
      <w:rFonts w:ascii="Segoe UI" w:hAnsi="Segoe UI" w:eastAsia="Times New Roman" w:cs="Segoe UI"/>
      <w:sz w:val="18"/>
      <w:szCs w:val="18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20246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Calibri"/>
      <w:szCs w:val="20"/>
      <w:lang w:val="en-US" w:eastAsia="ar-SA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886b42"/>
    <w:rPr>
      <w:rFonts w:ascii="Times New Roman" w:hAnsi="Times New Roman" w:eastAsia="Times New Roman" w:cs="Calibri"/>
      <w:b/>
      <w:bCs/>
      <w:szCs w:val="20"/>
      <w:lang w:val="en-US" w:eastAsia="ar-SA"/>
    </w:rPr>
  </w:style>
  <w:style w:type="character" w:styleId="Hyperlink" w:customStyle="1">
    <w:name w:val="Hyperlink"/>
    <w:unhideWhenUsed/>
    <w:qFormat/>
    <w:rsid w:val="0076714f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65684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46e85"/>
    <w:pPr>
      <w:suppressAutoHyphens w:val="false"/>
      <w:spacing w:beforeAutospacing="1" w:afterAutospacing="1"/>
    </w:pPr>
    <w:rPr>
      <w:rFonts w:cs="Times New Roman"/>
      <w:lang w:val="ru-RU" w:eastAsia="ru-RU"/>
    </w:rPr>
  </w:style>
  <w:style w:type="paragraph" w:styleId="31" w:customStyle="1">
    <w:name w:val="Основной текст с отступом 31"/>
    <w:basedOn w:val="Normal"/>
    <w:qFormat/>
    <w:rsid w:val="007271d6"/>
    <w:pPr>
      <w:tabs>
        <w:tab w:val="clear" w:pos="708"/>
        <w:tab w:val="left" w:pos="4962" w:leader="none"/>
      </w:tabs>
      <w:ind w:star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b85b5c"/>
    <w:pPr/>
    <w:rPr>
      <w:rFonts w:ascii="Segoe UI" w:hAnsi="Segoe UI" w:cs="Segoe UI"/>
      <w:sz w:val="18"/>
      <w:szCs w:val="18"/>
    </w:rPr>
  </w:style>
  <w:style w:type="paragraph" w:styleId="Style22" w:customStyle="1">
    <w:name w:val="!Ïîäïèñü"/>
    <w:basedOn w:val="Normal"/>
    <w:qFormat/>
    <w:rsid w:val="00f56a4e"/>
    <w:pPr>
      <w:suppressAutoHyphens w:val="false"/>
    </w:pPr>
    <w:rPr>
      <w:rFonts w:cs="Times New Roman"/>
      <w:b/>
      <w:szCs w:val="20"/>
      <w:lang w:eastAsia="ru-RU"/>
    </w:rPr>
  </w:style>
  <w:style w:type="paragraph" w:styleId="Style23" w:customStyle="1">
    <w:name w:val="Нормальный (таблица)"/>
    <w:basedOn w:val="Normal"/>
    <w:next w:val="Normal"/>
    <w:uiPriority w:val="99"/>
    <w:qFormat/>
    <w:rsid w:val="00f56a4e"/>
    <w:pPr>
      <w:widowControl w:val="false"/>
      <w:suppressAutoHyphens w:val="false"/>
      <w:jc w:val="both"/>
    </w:pPr>
    <w:rPr>
      <w:rFonts w:ascii="Times New Roman CYR" w:hAnsi="Times New Roman CYR" w:eastAsia="" w:cs="Times New Roman CYR" w:eastAsiaTheme="minorEastAsia"/>
      <w:lang w:val="ru-RU" w:eastAsia="ru-RU"/>
    </w:rPr>
  </w:style>
  <w:style w:type="paragraph" w:styleId="21" w:customStyle="1">
    <w:name w:val="Основной текст 21"/>
    <w:basedOn w:val="Normal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Comment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86b42"/>
    <w:pPr/>
    <w:rPr>
      <w:b/>
      <w:bCs/>
    </w:rPr>
  </w:style>
  <w:style w:type="paragraph" w:styleId="user3" w:customStyle="1">
    <w:name w:val="Содержимое таблицы (user)"/>
    <w:basedOn w:val="Normal"/>
    <w:qFormat/>
    <w:pPr>
      <w:suppressLineNumbers/>
    </w:pPr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6f3d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LibreOffice/25.8.6.2$Windows_X86_64 LibreOffice_project/b4b39682cd9868fa725bc664aff94278d315bd04</Application>
  <AppVersion>15.0000</AppVersion>
  <Pages>8</Pages>
  <Words>2355</Words>
  <Characters>17689</Characters>
  <CharactersWithSpaces>19851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2026-03-13T15:08:00Z</dcterms:created>
  <dc:creator>lelik</dc:creator>
  <dc:description/>
  <dc:language>ru-RU</dc:language>
  <cp:lastModifiedBy/>
  <cp:lastPrinted>2020-02-14T10:36:00Z</cp:lastPrinted>
  <dcterms:modified xsi:type="dcterms:W3CDTF">2026-06-01T13:31:05Z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