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B343" w14:textId="77777777" w:rsidR="00FB4801" w:rsidRDefault="00F938E9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Договору № </w:t>
      </w:r>
    </w:p>
    <w:p w14:paraId="1E50FBF7" w14:textId="581A3DFD" w:rsidR="00FB4801" w:rsidRDefault="00F938E9">
      <w:pPr>
        <w:widowControl w:val="0"/>
        <w:suppressAutoHyphens/>
        <w:spacing w:after="0" w:line="240" w:lineRule="auto"/>
        <w:ind w:left="340" w:firstLine="5046"/>
      </w:pPr>
      <w:r>
        <w:rPr>
          <w:rFonts w:ascii="Times New Roman" w:hAnsi="Times New Roman" w:cs="Times New Roman"/>
          <w:sz w:val="24"/>
          <w:szCs w:val="24"/>
        </w:rPr>
        <w:t>От ________________________202</w:t>
      </w:r>
      <w:r w:rsidR="002872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3DEF86A" w14:textId="77777777" w:rsidR="00FB4801" w:rsidRDefault="00FB4801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BECD180" w14:textId="77777777" w:rsidR="00FB4801" w:rsidRDefault="00F938E9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ПРОГРАММА МЕДИЦИНСКОГО ОБСЛУЖИВАНИЯ </w:t>
      </w:r>
    </w:p>
    <w:p w14:paraId="072DF0EC" w14:textId="334EBD34" w:rsidR="00FB4801" w:rsidRDefault="00F938E9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СТАНДАРТ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(дети от 3 лет до 7 лет)</w:t>
      </w:r>
      <w:r w:rsidR="009904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9904E8" w:rsidRPr="009904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пределах 30 км от МКАД</w:t>
      </w:r>
    </w:p>
    <w:p w14:paraId="088043E9" w14:textId="0AB641B7" w:rsidR="00FB4801" w:rsidRDefault="00F938E9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 программы </w:t>
      </w:r>
      <w:r w:rsidR="009904E8">
        <w:rPr>
          <w:rFonts w:ascii="Times New Roman" w:hAnsi="Times New Roman" w:cs="Times New Roman"/>
          <w:b/>
          <w:bCs/>
          <w:sz w:val="24"/>
          <w:szCs w:val="24"/>
        </w:rPr>
        <w:t>93</w:t>
      </w:r>
      <w:r w:rsidR="00587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04E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14:paraId="3BBA01A2" w14:textId="77777777" w:rsidR="00FB4801" w:rsidRDefault="00FB4801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9DD8255" w14:textId="77777777" w:rsidR="00FB4801" w:rsidRDefault="00F938E9">
      <w:pPr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71DDF8F4" w14:textId="77777777" w:rsidR="00FB4801" w:rsidRDefault="00F938E9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6BA48F11" w14:textId="77777777" w:rsidR="00FB4801" w:rsidRDefault="00FB480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00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57"/>
        <w:gridCol w:w="2243"/>
      </w:tblGrid>
      <w:tr w:rsidR="00FB4801" w14:paraId="5E12CBD4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164B5" w14:textId="77777777" w:rsidR="00FB4801" w:rsidRDefault="00F938E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2C06" w14:textId="77777777" w:rsidR="00FB4801" w:rsidRDefault="00F938E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FB4801" w14:paraId="1800BE44" w14:textId="77777777"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2625A" w14:textId="77777777" w:rsidR="00FB4801" w:rsidRDefault="00F938E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3E478" w14:textId="77777777" w:rsidR="00FB4801" w:rsidRDefault="00F938E9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6F8FF50A" w14:textId="77777777" w:rsidR="00FB4801" w:rsidRDefault="00FB480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00B885A2" w14:textId="77777777" w:rsidR="00FB4801" w:rsidRDefault="00FB48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41EB5B36" w14:textId="77777777" w:rsidR="00FB4801" w:rsidRDefault="00F938E9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3 лет до 7 лет</w:t>
      </w:r>
    </w:p>
    <w:p w14:paraId="7D170BC5" w14:textId="77777777" w:rsidR="00FB4801" w:rsidRDefault="00F938E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782B721C" w14:textId="77777777" w:rsidR="00FB4801" w:rsidRDefault="00FB480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5C58B97" w14:textId="77777777" w:rsidR="00FB4801" w:rsidRPr="00F938E9" w:rsidRDefault="00F938E9">
      <w:pPr>
        <w:pStyle w:val="af2"/>
        <w:widowControl w:val="0"/>
        <w:numPr>
          <w:ilvl w:val="0"/>
          <w:numId w:val="4"/>
        </w:numPr>
        <w:ind w:left="142" w:hanging="142"/>
        <w:rPr>
          <w:lang w:val="ru-RU"/>
        </w:rPr>
      </w:pPr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7688FD96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</w:t>
      </w:r>
      <w:bookmarkStart w:id="0" w:name="_Hlk414161031"/>
      <w:bookmarkEnd w:id="0"/>
    </w:p>
    <w:p w14:paraId="6B14234C" w14:textId="77777777" w:rsidR="00062A1B" w:rsidRPr="00062A1B" w:rsidRDefault="00F938E9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</w:t>
      </w:r>
      <w:r w:rsidR="00287232">
        <w:rPr>
          <w:rFonts w:ascii="Times New Roman" w:hAnsi="Times New Roman" w:cs="Times New Roman"/>
          <w:b/>
          <w:bCs/>
          <w:kern w:val="2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</w:t>
      </w:r>
      <w:r w:rsidR="00062A1B">
        <w:rPr>
          <w:rFonts w:ascii="Times New Roman" w:hAnsi="Times New Roman" w:cs="Times New Roman"/>
          <w:kern w:val="2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BEECB" w14:textId="77777777" w:rsidR="00062A1B" w:rsidRDefault="00F938E9" w:rsidP="00062A1B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детского психолога/психиатра - 1 консультация за период прикрепления; </w:t>
      </w:r>
    </w:p>
    <w:p w14:paraId="00756C9D" w14:textId="7E9B1B1C" w:rsidR="00FB4801" w:rsidRDefault="00F938E9" w:rsidP="00062A1B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профилактический осмотр стоматолога – однократно за период прикрепления.</w:t>
      </w:r>
      <w:bookmarkStart w:id="1" w:name="_Hlk407982661"/>
      <w:bookmarkEnd w:id="1"/>
    </w:p>
    <w:p w14:paraId="33D48619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Лабораторная диагностика по назначению </w:t>
      </w:r>
      <w:bookmarkStart w:id="2" w:name="_Hlk493453981"/>
      <w:r>
        <w:rPr>
          <w:rFonts w:ascii="Times New Roman" w:hAnsi="Times New Roman" w:cs="Times New Roman"/>
          <w:b/>
          <w:bCs/>
          <w:sz w:val="24"/>
          <w:szCs w:val="24"/>
        </w:rPr>
        <w:t>врача (до 5 исследований каждого вида за период обслуживания по программе)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3" w:name="_Hlk407990071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4" w:name="_Hlk335175751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7B29365C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 (до 3 раз за период прикрепления)</w:t>
      </w:r>
      <w:bookmarkStart w:id="5" w:name="_GoBack1"/>
      <w:bookmarkEnd w:id="5"/>
      <w:r>
        <w:rPr>
          <w:rFonts w:ascii="Times New Roman" w:hAnsi="Times New Roman" w:cs="Times New Roman"/>
          <w:sz w:val="24"/>
          <w:szCs w:val="24"/>
        </w:rPr>
        <w:t>, ЭХО-КГ – однократно.</w:t>
      </w:r>
    </w:p>
    <w:p w14:paraId="7717657C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Общие манипуляции и процедуры кроме курсовых процедур: </w:t>
      </w:r>
      <w:r>
        <w:rPr>
          <w:rFonts w:ascii="Times New Roman" w:hAnsi="Times New Roman" w:cs="Times New Roman"/>
          <w:sz w:val="24"/>
          <w:szCs w:val="24"/>
        </w:rPr>
        <w:t>п/к, в/м, в/в инъекции (кроме в/в капельные и курсовые инъекции не более 10 процедур), перевязки, наложение гипсовых повязок;</w:t>
      </w:r>
      <w:bookmarkStart w:id="6" w:name="_Hlk493455481"/>
      <w:bookmarkEnd w:id="6"/>
    </w:p>
    <w:p w14:paraId="579D4A98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суммарно до 5 процедур за период годового прикрепления;</w:t>
      </w:r>
    </w:p>
    <w:p w14:paraId="48438F7F" w14:textId="77777777" w:rsidR="00FB4801" w:rsidRDefault="00F938E9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sz w:val="24"/>
          <w:szCs w:val="24"/>
        </w:rPr>
        <w:t>массаж в поликлинике 1 курс (до 10 процедур) в течение годового прикрепления.</w:t>
      </w:r>
    </w:p>
    <w:p w14:paraId="62E4D2A7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</w:pPr>
      <w:bookmarkStart w:id="7" w:name="_Hlk407973331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Start w:id="8" w:name="_Hlk407975911"/>
      <w:bookmarkEnd w:id="7"/>
      <w:r>
        <w:rPr>
          <w:rFonts w:ascii="Times New Roman" w:hAnsi="Times New Roman" w:cs="Times New Roman"/>
          <w:sz w:val="24"/>
          <w:szCs w:val="24"/>
        </w:rPr>
        <w:t xml:space="preserve">Экспертиза трудоспособности, выдача листков нетрудоспособности (Законным представителем по уходу за больным Пациентом),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выписка направлений на консультации и обследования, оформление выписки из медицинской карты, оформление справки в бассейн (ф. № 59, оформление медицинской карты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Пациентадля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образовательных учреждений (ф. № 026/у) без анализов и обследований включает оформление справки и анализы), оформление медицинской карты Пациента для образовательных учреждений (ф. № 026/у) без анализов и обследований,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8"/>
    </w:p>
    <w:p w14:paraId="7F72307F" w14:textId="77777777" w:rsidR="00FB4801" w:rsidRDefault="00FB48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B848D" w14:textId="77777777" w:rsidR="00FB4801" w:rsidRPr="00F938E9" w:rsidRDefault="00F938E9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ПОМОЩЬ НА ДОМУ ПО ОСТРОМУ ЗАБОЛЕВАНИЮ:</w:t>
      </w:r>
      <w:bookmarkStart w:id="9" w:name="_Hlk443401801"/>
      <w:bookmarkStart w:id="10" w:name="_Hlk407973851"/>
      <w:bookmarkEnd w:id="9"/>
      <w:bookmarkEnd w:id="10"/>
    </w:p>
    <w:p w14:paraId="66D8FE58" w14:textId="77777777" w:rsidR="00FB4801" w:rsidRDefault="00F938E9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2DA2701A" w14:textId="77777777" w:rsidR="00FB4801" w:rsidRDefault="00F938E9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11" w:name="_Hlk492639901"/>
      <w:bookmarkEnd w:id="11"/>
    </w:p>
    <w:p w14:paraId="4BB37222" w14:textId="77777777" w:rsidR="00FB4801" w:rsidRDefault="00FB48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E2E5047" w14:textId="77777777" w:rsidR="00FB4801" w:rsidRDefault="00F938E9">
      <w:pPr>
        <w:pStyle w:val="af2"/>
        <w:widowControl w:val="0"/>
        <w:numPr>
          <w:ilvl w:val="0"/>
          <w:numId w:val="4"/>
        </w:numPr>
        <w:ind w:left="0" w:firstLine="0"/>
      </w:pPr>
      <w:r>
        <w:rPr>
          <w:szCs w:val="24"/>
          <w:lang w:val="ru-RU"/>
        </w:rPr>
        <w:t>ПЛАНОВЫЕ И ПРОФИЛАКТИЧЕСКИЕ МЕРОПРИЯТИЯ:</w:t>
      </w:r>
    </w:p>
    <w:p w14:paraId="11CA8A0A" w14:textId="77777777" w:rsidR="00FB4801" w:rsidRDefault="00F938E9">
      <w:pPr>
        <w:pStyle w:val="af0"/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221E57BC" w14:textId="77777777" w:rsidR="00FB4801" w:rsidRDefault="00F938E9">
      <w:pPr>
        <w:pStyle w:val="af0"/>
        <w:numPr>
          <w:ilvl w:val="0"/>
          <w:numId w:val="4"/>
        </w:numPr>
        <w:spacing w:after="0" w:line="240" w:lineRule="auto"/>
        <w:ind w:left="138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3, 4, 5, 6 лет – однократно за период действия программы</w:t>
      </w:r>
    </w:p>
    <w:p w14:paraId="01188052" w14:textId="77777777" w:rsidR="00FB4801" w:rsidRDefault="00FB4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519"/>
        <w:gridCol w:w="2136"/>
        <w:gridCol w:w="2490"/>
        <w:gridCol w:w="2200"/>
      </w:tblGrid>
      <w:tr w:rsidR="00FB4801" w14:paraId="208ADBA4" w14:textId="77777777">
        <w:tc>
          <w:tcPr>
            <w:tcW w:w="2518" w:type="dxa"/>
            <w:shd w:val="clear" w:color="auto" w:fill="auto"/>
          </w:tcPr>
          <w:p w14:paraId="23FF8609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1CC5BC3F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0" w:type="dxa"/>
            <w:shd w:val="clear" w:color="auto" w:fill="auto"/>
          </w:tcPr>
          <w:p w14:paraId="68D38BF9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0" w:type="dxa"/>
            <w:shd w:val="clear" w:color="auto" w:fill="auto"/>
          </w:tcPr>
          <w:p w14:paraId="16ADB1CE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FB4801" w14:paraId="52B17961" w14:textId="77777777">
        <w:tc>
          <w:tcPr>
            <w:tcW w:w="2518" w:type="dxa"/>
            <w:shd w:val="clear" w:color="auto" w:fill="auto"/>
          </w:tcPr>
          <w:p w14:paraId="0A18F813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7AF1AE0A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0" w:type="dxa"/>
            <w:shd w:val="clear" w:color="auto" w:fill="auto"/>
          </w:tcPr>
          <w:p w14:paraId="24AEBE3B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5EC49601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0" w:type="dxa"/>
            <w:shd w:val="clear" w:color="auto" w:fill="auto"/>
          </w:tcPr>
          <w:p w14:paraId="36BB8386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FB4801" w14:paraId="1C31CCCE" w14:textId="77777777">
        <w:tc>
          <w:tcPr>
            <w:tcW w:w="2518" w:type="dxa"/>
            <w:shd w:val="clear" w:color="auto" w:fill="auto"/>
          </w:tcPr>
          <w:p w14:paraId="7D8A65F0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2136" w:type="dxa"/>
            <w:shd w:val="clear" w:color="auto" w:fill="auto"/>
          </w:tcPr>
          <w:p w14:paraId="41759103" w14:textId="77777777" w:rsidR="00FB4801" w:rsidRDefault="00FB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8FE6C" w14:textId="77777777" w:rsidR="00FB4801" w:rsidRDefault="00F938E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0" w:type="dxa"/>
            <w:shd w:val="clear" w:color="auto" w:fill="auto"/>
          </w:tcPr>
          <w:p w14:paraId="4955695F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6CB8502E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75E8D969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00E99625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FB4801" w14:paraId="61816263" w14:textId="77777777">
        <w:tc>
          <w:tcPr>
            <w:tcW w:w="2518" w:type="dxa"/>
            <w:shd w:val="clear" w:color="auto" w:fill="auto"/>
          </w:tcPr>
          <w:p w14:paraId="3D8AB9A1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2136" w:type="dxa"/>
            <w:shd w:val="clear" w:color="auto" w:fill="auto"/>
          </w:tcPr>
          <w:p w14:paraId="0E001CB6" w14:textId="77777777" w:rsidR="00FB4801" w:rsidRDefault="00FB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A2B5D" w14:textId="77777777" w:rsidR="00FB4801" w:rsidRDefault="00F938E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0" w:type="dxa"/>
            <w:shd w:val="clear" w:color="auto" w:fill="auto"/>
          </w:tcPr>
          <w:p w14:paraId="5F3E5FEE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76F322CC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688AD72E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316DEF48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FB4801" w14:paraId="7F005248" w14:textId="77777777">
        <w:tc>
          <w:tcPr>
            <w:tcW w:w="2518" w:type="dxa"/>
            <w:shd w:val="clear" w:color="auto" w:fill="auto"/>
          </w:tcPr>
          <w:p w14:paraId="3BA869E0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  <w:tc>
          <w:tcPr>
            <w:tcW w:w="2136" w:type="dxa"/>
            <w:shd w:val="clear" w:color="auto" w:fill="auto"/>
          </w:tcPr>
          <w:p w14:paraId="46F27E28" w14:textId="77777777" w:rsidR="00FB4801" w:rsidRDefault="00FB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E9ED1" w14:textId="77777777" w:rsidR="00FB4801" w:rsidRDefault="00F938E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Окулист, невролог, ортопед, ЛОР</w:t>
            </w:r>
          </w:p>
        </w:tc>
        <w:tc>
          <w:tcPr>
            <w:tcW w:w="2490" w:type="dxa"/>
            <w:shd w:val="clear" w:color="auto" w:fill="auto"/>
          </w:tcPr>
          <w:p w14:paraId="7A7FB368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анализ крови </w:t>
            </w:r>
          </w:p>
          <w:p w14:paraId="101283D0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анализ мочи, энтеробиоз, яйца глист</w:t>
            </w:r>
          </w:p>
          <w:p w14:paraId="31576CC0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01F3BF58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ЭКГ</w:t>
            </w:r>
          </w:p>
        </w:tc>
      </w:tr>
    </w:tbl>
    <w:p w14:paraId="4A6180A8" w14:textId="77777777" w:rsidR="00FB4801" w:rsidRDefault="00FB4801">
      <w:pPr>
        <w:pStyle w:val="af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9917830" w14:textId="77777777" w:rsidR="00FB4801" w:rsidRDefault="00F938E9">
      <w:pPr>
        <w:pStyle w:val="af0"/>
        <w:numPr>
          <w:ilvl w:val="1"/>
          <w:numId w:val="4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p w14:paraId="7CBC8407" w14:textId="77777777" w:rsidR="00FB4801" w:rsidRDefault="00FB4801">
      <w:pPr>
        <w:pStyle w:val="af3"/>
        <w:rPr>
          <w:rFonts w:ascii="Times New Roman" w:hAnsi="Times New Roman" w:cs="Times New Roman"/>
          <w:b/>
        </w:rPr>
      </w:pPr>
    </w:p>
    <w:tbl>
      <w:tblPr>
        <w:tblW w:w="937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8"/>
        <w:gridCol w:w="5947"/>
      </w:tblGrid>
      <w:tr w:rsidR="00FB4801" w14:paraId="2DA51F4E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0264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AE4A" w14:textId="77777777" w:rsidR="00FB4801" w:rsidRDefault="00F938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профилактической вакцины</w:t>
            </w:r>
          </w:p>
        </w:tc>
      </w:tr>
      <w:tr w:rsidR="00FB4801" w14:paraId="32E5AA69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EC5AF" w14:textId="77777777" w:rsidR="00FB4801" w:rsidRDefault="00F9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295F3" w14:textId="77777777" w:rsidR="00FB4801" w:rsidRDefault="00F9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  <w:p w14:paraId="109F8125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522A1147" w14:textId="77777777" w:rsidR="00FB4801" w:rsidRDefault="00F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801" w14:paraId="73993027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3AEA" w14:textId="77777777" w:rsidR="00FB4801" w:rsidRDefault="00F9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BE267" w14:textId="77777777" w:rsidR="00FB4801" w:rsidRDefault="00F9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ревакцинация против дифтерии, столбняка </w:t>
            </w:r>
          </w:p>
        </w:tc>
      </w:tr>
      <w:tr w:rsidR="00FB4801" w14:paraId="484023ED" w14:textId="77777777">
        <w:trPr>
          <w:trHeight w:val="3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944D9" w14:textId="77777777" w:rsidR="00FB4801" w:rsidRDefault="00F9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7 лет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1C42" w14:textId="77777777" w:rsidR="00FB4801" w:rsidRDefault="00F938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0BD0119B" w14:textId="77777777" w:rsidR="00FB4801" w:rsidRDefault="00FB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801" w14:paraId="66640243" w14:textId="77777777">
        <w:trPr>
          <w:trHeight w:val="900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12E9" w14:textId="77777777" w:rsidR="00FB4801" w:rsidRDefault="00F9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6 месяцев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705A" w14:textId="77777777" w:rsidR="00FB4801" w:rsidRDefault="00F938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14:paraId="25B7AED1" w14:textId="77777777" w:rsidR="00FB4801" w:rsidRDefault="00FB48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A3FAD" w14:textId="77777777" w:rsidR="00FB4801" w:rsidRDefault="00F938E9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Профилактические прививки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 только в условиях поликлиники.</w:t>
      </w:r>
    </w:p>
    <w:p w14:paraId="0E2988B9" w14:textId="77777777" w:rsidR="00FB4801" w:rsidRDefault="00F938E9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Изменения по вакцинопрофилактике производятся согласно с изменениями Приказа МЗ РФ № 125н от 21.03.2014 г.</w:t>
      </w:r>
    </w:p>
    <w:p w14:paraId="6A6ECF83" w14:textId="77777777" w:rsidR="00FB4801" w:rsidRDefault="00F938E9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381BB82C" w14:textId="77777777" w:rsidR="00FB4801" w:rsidRPr="00F938E9" w:rsidRDefault="00F938E9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«ДОЧКИ-СЫНОЧКИ» СТАНДАРТ» ДЛЯ ДЕТЕЙ В ВОЗРАСТЕ ОТ 3 ДО 7 ЛЕТ:</w:t>
      </w:r>
    </w:p>
    <w:p w14:paraId="1A7532D3" w14:textId="77777777" w:rsidR="00FB4801" w:rsidRDefault="00F938E9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1D2B7D08" w14:textId="77777777" w:rsidR="00FB4801" w:rsidRDefault="00F938E9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2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2"/>
    </w:p>
    <w:p w14:paraId="28684E1C" w14:textId="77777777" w:rsidR="00FB4801" w:rsidRDefault="00F938E9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44895679" w14:textId="77777777" w:rsidR="00FB4801" w:rsidRDefault="00F938E9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63C732AD" w14:textId="77777777" w:rsidR="00FB4801" w:rsidRDefault="00F938E9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30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30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F00511" w14:textId="77777777" w:rsidR="00FB4801" w:rsidRDefault="00F938E9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71FF3E6E" w14:textId="77777777" w:rsidR="00FB4801" w:rsidRDefault="00F938E9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680AF978" w14:textId="77777777" w:rsidR="00FB4801" w:rsidRDefault="00F938E9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08116603" w14:textId="77777777" w:rsidR="00FB4801" w:rsidRDefault="00F938E9">
      <w:pPr>
        <w:pStyle w:val="af0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1E832668" w14:textId="77777777" w:rsidR="00FB4801" w:rsidRDefault="00F938E9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286528CB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  <w:jc w:val="left"/>
      </w:pPr>
      <w:r>
        <w:rPr>
          <w:color w:val="auto"/>
          <w:szCs w:val="24"/>
        </w:rPr>
        <w:lastRenderedPageBreak/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4BDAB263" w14:textId="77777777" w:rsidR="00FB4801" w:rsidRDefault="00F938E9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1FFA541D" w14:textId="77777777" w:rsidR="00FB4801" w:rsidRDefault="00F938E9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13" w:name="__DdeLink__8341_8178904631"/>
      <w:bookmarkEnd w:id="13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61798F56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0F7CB5EE" w14:textId="77777777" w:rsidR="00FB4801" w:rsidRDefault="00F938E9">
      <w:pPr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 w:hanging="357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3E5C1D37" w14:textId="77777777" w:rsidR="00FB4801" w:rsidRDefault="00F938E9">
      <w:pPr>
        <w:pStyle w:val="af0"/>
        <w:numPr>
          <w:ilvl w:val="0"/>
          <w:numId w:val="6"/>
        </w:numPr>
        <w:spacing w:after="0" w:line="240" w:lineRule="auto"/>
        <w:ind w:left="0" w:hanging="357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6ED991D5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color w:val="auto"/>
          <w:szCs w:val="24"/>
        </w:rPr>
        <w:t xml:space="preserve">Плановые мероприятия, соответствующие возрасту 4, 5, 6 лет, входят в программу обслуживания, если на момент прикрепления возраст Пациента составляет </w:t>
      </w:r>
      <w:r>
        <w:rPr>
          <w:strike/>
          <w:color w:val="auto"/>
          <w:szCs w:val="24"/>
        </w:rPr>
        <w:t>4</w:t>
      </w:r>
      <w:r>
        <w:rPr>
          <w:color w:val="auto"/>
          <w:szCs w:val="24"/>
        </w:rPr>
        <w:t>, 5 или 6 лет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2BBC83D4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 w:hanging="357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7A1A21C5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080"/>
          <w:tab w:val="left" w:pos="1260"/>
        </w:tabs>
        <w:ind w:left="0" w:hanging="357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578E86E3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 w:hanging="357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11D9AA47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66662A47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7870C061" w14:textId="77777777" w:rsidR="00FB4801" w:rsidRDefault="00F938E9">
      <w:pPr>
        <w:pStyle w:val="21"/>
        <w:tabs>
          <w:tab w:val="left" w:pos="0"/>
          <w:tab w:val="left" w:pos="360"/>
          <w:tab w:val="left" w:pos="1260"/>
        </w:tabs>
        <w:ind w:firstLine="0"/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18913A3C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1673BFFB" w14:textId="77777777" w:rsidR="00FB4801" w:rsidRDefault="00F938E9">
      <w:pPr>
        <w:pStyle w:val="21"/>
        <w:numPr>
          <w:ilvl w:val="0"/>
          <w:numId w:val="6"/>
        </w:numPr>
        <w:tabs>
          <w:tab w:val="left" w:pos="0"/>
          <w:tab w:val="left" w:pos="360"/>
          <w:tab w:val="left" w:pos="1260"/>
        </w:tabs>
        <w:ind w:left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7198ABCA" w14:textId="77777777" w:rsidR="00FB4801" w:rsidRDefault="00F938E9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090359A6" w14:textId="77777777" w:rsidR="00FB4801" w:rsidRDefault="00F938E9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6092F31E" w14:textId="77777777" w:rsidR="00FB4801" w:rsidRDefault="00F938E9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0085C07C" w14:textId="77777777" w:rsidR="00FB4801" w:rsidRDefault="00F938E9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26360ED2" w14:textId="77777777" w:rsidR="00FB4801" w:rsidRDefault="00F938E9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02E3437E" w14:textId="77777777" w:rsidR="00FB4801" w:rsidRDefault="00F938E9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63A0F666" w14:textId="77777777" w:rsidR="00FB4801" w:rsidRDefault="00F938E9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3119A367" w14:textId="77777777" w:rsidR="00FB4801" w:rsidRDefault="00F938E9">
      <w:pPr>
        <w:pStyle w:val="af0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3F9E6E46" w14:textId="77777777" w:rsidR="00FB4801" w:rsidRDefault="00F938E9">
      <w:pPr>
        <w:pStyle w:val="af0"/>
        <w:numPr>
          <w:ilvl w:val="0"/>
          <w:numId w:val="6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пункту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указанному в Договоре.</w:t>
      </w:r>
    </w:p>
    <w:p w14:paraId="3BF954B0" w14:textId="77777777" w:rsidR="00FB4801" w:rsidRDefault="00FB48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32B4EF" w14:textId="77777777" w:rsidR="00FB4801" w:rsidRPr="00F938E9" w:rsidRDefault="00F938E9">
      <w:pPr>
        <w:pStyle w:val="af2"/>
        <w:widowControl w:val="0"/>
        <w:numPr>
          <w:ilvl w:val="0"/>
          <w:numId w:val="4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1F541C3A" w14:textId="77777777" w:rsidR="00FB4801" w:rsidRDefault="00F938E9">
      <w:pPr>
        <w:pStyle w:val="af0"/>
        <w:numPr>
          <w:ilvl w:val="1"/>
          <w:numId w:val="4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Личный менеджер по сопровождению на весь срок прикрепления; </w:t>
      </w:r>
    </w:p>
    <w:p w14:paraId="78CBAA05" w14:textId="77777777" w:rsidR="00FB4801" w:rsidRDefault="00F938E9">
      <w:pPr>
        <w:pStyle w:val="af0"/>
        <w:numPr>
          <w:ilvl w:val="1"/>
          <w:numId w:val="4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Прямая связь с персональным менеджером по телефону в соответствии с графиком работы персонального менеджера</w:t>
      </w:r>
      <w:bookmarkStart w:id="14" w:name="_Hlk414984911"/>
      <w:bookmarkEnd w:id="14"/>
      <w:r>
        <w:rPr>
          <w:rFonts w:ascii="Times New Roman" w:hAnsi="Times New Roman" w:cs="Times New Roman"/>
          <w:sz w:val="24"/>
          <w:szCs w:val="24"/>
        </w:rPr>
        <w:t>;</w:t>
      </w:r>
    </w:p>
    <w:p w14:paraId="38467090" w14:textId="77777777" w:rsidR="00FB4801" w:rsidRDefault="00F938E9">
      <w:pPr>
        <w:pStyle w:val="af0"/>
        <w:numPr>
          <w:ilvl w:val="1"/>
          <w:numId w:val="4"/>
        </w:numPr>
        <w:tabs>
          <w:tab w:val="left" w:pos="360"/>
          <w:tab w:val="left" w:pos="12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Ведущий врач-педиатр</w:t>
      </w:r>
      <w:bookmarkStart w:id="15" w:name="_Hlk443404321"/>
      <w:bookmarkEnd w:id="15"/>
      <w:r>
        <w:rPr>
          <w:rFonts w:ascii="Times New Roman" w:hAnsi="Times New Roman" w:cs="Times New Roman"/>
          <w:sz w:val="24"/>
          <w:szCs w:val="24"/>
        </w:rPr>
        <w:t>.</w:t>
      </w:r>
    </w:p>
    <w:p w14:paraId="015909C6" w14:textId="77777777" w:rsidR="00FB4801" w:rsidRDefault="00FB4801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91EAD" w14:textId="77777777" w:rsidR="00FB4801" w:rsidRDefault="00F938E9">
      <w:pPr>
        <w:pStyle w:val="af0"/>
        <w:numPr>
          <w:ilvl w:val="0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Программой не оплачиваются следующие медицинские услуги:</w:t>
      </w:r>
    </w:p>
    <w:p w14:paraId="0C6A9563" w14:textId="77777777" w:rsidR="00FB4801" w:rsidRDefault="00F938E9"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6FF1B5D4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26D96F11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7E86AC20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>слуги, оказанные застрахованному после окончания срока действия договора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x-none"/>
        </w:rPr>
        <w:t xml:space="preserve"> </w:t>
      </w:r>
    </w:p>
    <w:p w14:paraId="0F86365F" w14:textId="77777777" w:rsidR="00FB4801" w:rsidRDefault="00F938E9">
      <w:pPr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Следующие заболевания и их последствия не входят в программу обслуживания:</w:t>
      </w:r>
    </w:p>
    <w:p w14:paraId="2AE09FF9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0665D58C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Врожденные аномалии (пороки развития), деформации и хромосомные нарушения; наследственные заболевания.</w:t>
      </w:r>
    </w:p>
    <w:p w14:paraId="0BBE1748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168FDA35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 сне);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7B2EDCF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спондилит (болезнь Бехтерева).</w:t>
      </w:r>
    </w:p>
    <w:p w14:paraId="1659EDC7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Венерические болезни; повторные обращения в течение периода срока страхования по поводу других заболеваний, передающихся преимущественно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половым путем (ЗППП); болезнь, вызванная вирусом иммунодефицита человека (ВИЧ-инфекция) и ВИЧ-ассоциированные заболевания.</w:t>
      </w:r>
    </w:p>
    <w:p w14:paraId="13039B06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0C5F03B5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341DF804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7CC0934E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2E02016" w14:textId="77777777" w:rsidR="00FB4801" w:rsidRDefault="00F938E9">
      <w:pPr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6B3B8C22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Нейросенсорная тугоухость и другие потери слуха.</w:t>
      </w:r>
    </w:p>
    <w:p w14:paraId="667BF1A2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3BF1B961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Сахарный диабет и его осложнения.</w:t>
      </w:r>
    </w:p>
    <w:p w14:paraId="43619CCC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2C920CB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Туберкулез; саркоидоз; амилоидоз.</w:t>
      </w:r>
    </w:p>
    <w:p w14:paraId="48FBC7B0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Хронические гепатиты, цирроз печени.</w:t>
      </w:r>
    </w:p>
    <w:p w14:paraId="7E2890C3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75468345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Последствия воздействия ионизирующих излучений (острая и хроническая лучевая болезнь).</w:t>
      </w:r>
    </w:p>
    <w:p w14:paraId="2D26E6C7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являющиеся причиной установления инвалидности.</w:t>
      </w:r>
    </w:p>
    <w:p w14:paraId="48702BBF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Заболевания, лечение которых требует трансплантации, имплантации, протезирования органов и тканей.</w:t>
      </w:r>
    </w:p>
    <w:p w14:paraId="124B14DB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гиперпролактинэмия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поликистоз яичников и т.п.). </w:t>
      </w:r>
    </w:p>
    <w:p w14:paraId="656BE08F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7692C754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(кифоз, лордоз, сколиоз, остеохондроз и прочие).</w:t>
      </w:r>
    </w:p>
    <w:p w14:paraId="77F5EB9B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Ожоги более 50% поверхности тела любой степени, ожоги 3Б-4 степени, отморожения 3-4 степени</w:t>
      </w:r>
    </w:p>
    <w:p w14:paraId="305C9085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Заболевания и состояния, требующие наблюдения и лечения в условиях профильных ЛПУ;</w:t>
      </w:r>
    </w:p>
    <w:p w14:paraId="6A2117DA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129D08B9" w14:textId="77777777" w:rsidR="00FB4801" w:rsidRDefault="00FB48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D6464B8" w14:textId="77777777" w:rsidR="00FB4801" w:rsidRDefault="00F938E9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7F78B391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представителя, не предусмотренные программой.</w:t>
      </w:r>
    </w:p>
    <w:p w14:paraId="548DC1E1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5D53A67C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6D26C367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032336E4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78FD6EAA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2D8B658D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57C38B18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03BBEC64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5B68758B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51723EB2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26DC0D67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62FB00FB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526191D9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0425048F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1B2C8372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 том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числе аппаратные методы .</w:t>
      </w:r>
    </w:p>
    <w:p w14:paraId="15BB6750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 п.1.2.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Программы), анализ кала на дисбактериоз</w:t>
      </w:r>
      <w:bookmarkStart w:id="16" w:name="_Hlk44340467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анализ кала на углеводы;</w:t>
      </w:r>
      <w:bookmarkEnd w:id="16"/>
    </w:p>
    <w:p w14:paraId="517712B2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60151E10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252F3F21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20959D5F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26C30AD2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2382F4CE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7" w:name="_Hlk493541631"/>
      <w:bookmarkEnd w:id="17"/>
    </w:p>
    <w:p w14:paraId="71F6467E" w14:textId="77777777" w:rsidR="00FB4801" w:rsidRDefault="00F938E9">
      <w:pPr>
        <w:numPr>
          <w:ilvl w:val="1"/>
          <w:numId w:val="4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виды стоматологических услуг, кроме указанных в программе.</w:t>
      </w:r>
      <w:bookmarkStart w:id="18" w:name="_Hlk492681451"/>
      <w:bookmarkEnd w:id="18"/>
    </w:p>
    <w:p w14:paraId="0FFB50CE" w14:textId="77777777" w:rsidR="00FB4801" w:rsidRDefault="00FB4801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579A38" w14:textId="77777777" w:rsidR="00FB4801" w:rsidRDefault="00FB4801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B4801" w14:paraId="03BA6693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C436B4" w14:textId="77777777" w:rsidR="00FB4801" w:rsidRDefault="00F938E9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2073617F" w14:textId="77777777" w:rsidR="00FB4801" w:rsidRDefault="00FB48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701145" w14:textId="3775F815" w:rsidR="00FB4801" w:rsidRDefault="00F938E9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F938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37532629" w14:textId="77777777" w:rsidR="00FB4801" w:rsidRDefault="00F938E9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BBF2D" w14:textId="77777777" w:rsidR="00FB4801" w:rsidRDefault="00F938E9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6E11D160" w14:textId="77777777" w:rsidR="00FB4801" w:rsidRDefault="00FB48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A3A46" w14:textId="77777777" w:rsidR="00FB4801" w:rsidRDefault="00F938E9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20FDD265" w14:textId="77777777" w:rsidR="00FB4801" w:rsidRDefault="00FB4801">
      <w:pPr>
        <w:suppressAutoHyphens/>
        <w:spacing w:after="0" w:line="240" w:lineRule="auto"/>
      </w:pPr>
    </w:p>
    <w:sectPr w:rsidR="00FB480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A3060"/>
    <w:multiLevelType w:val="multilevel"/>
    <w:tmpl w:val="0726BC1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353C7DD4"/>
    <w:multiLevelType w:val="multilevel"/>
    <w:tmpl w:val="133066D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136BF5"/>
    <w:multiLevelType w:val="multilevel"/>
    <w:tmpl w:val="C57E2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E134D"/>
    <w:multiLevelType w:val="multilevel"/>
    <w:tmpl w:val="6DF49250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4" w15:restartNumberingAfterBreak="0">
    <w:nsid w:val="550A1C4A"/>
    <w:multiLevelType w:val="multilevel"/>
    <w:tmpl w:val="092665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D12181F"/>
    <w:multiLevelType w:val="multilevel"/>
    <w:tmpl w:val="1758DD90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num w:numId="1" w16cid:durableId="429012406">
    <w:abstractNumId w:val="4"/>
  </w:num>
  <w:num w:numId="2" w16cid:durableId="928462113">
    <w:abstractNumId w:val="0"/>
  </w:num>
  <w:num w:numId="3" w16cid:durableId="1992052156">
    <w:abstractNumId w:val="1"/>
  </w:num>
  <w:num w:numId="4" w16cid:durableId="1903326073">
    <w:abstractNumId w:val="5"/>
  </w:num>
  <w:num w:numId="5" w16cid:durableId="1372417879">
    <w:abstractNumId w:val="3"/>
  </w:num>
  <w:num w:numId="6" w16cid:durableId="1035538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801"/>
    <w:rsid w:val="000409BD"/>
    <w:rsid w:val="00062A1B"/>
    <w:rsid w:val="00287232"/>
    <w:rsid w:val="005879C4"/>
    <w:rsid w:val="007D469E"/>
    <w:rsid w:val="009904E8"/>
    <w:rsid w:val="00DD1F98"/>
    <w:rsid w:val="00E8366B"/>
    <w:rsid w:val="00F938E9"/>
    <w:rsid w:val="00FB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EAA7"/>
  <w15:docId w15:val="{CF9E581B-072B-479E-9A2F-3ACD9A3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68711E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Pr>
      <w:rFonts w:ascii="Times New Roman" w:hAnsi="Times New Roman"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Times New Roman" w:hAnsi="Times New Roman"/>
      <w:b/>
      <w:bCs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Wingdings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/>
      <w:i w:val="0"/>
      <w:iCs/>
      <w:color w:val="auto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  <w:bCs/>
      <w:sz w:val="24"/>
    </w:rPr>
  </w:style>
  <w:style w:type="character" w:customStyle="1" w:styleId="ListLabel102">
    <w:name w:val="ListLabel 102"/>
    <w:qFormat/>
    <w:rPr>
      <w:b/>
      <w:bCs/>
      <w:i w:val="0"/>
      <w:iCs/>
      <w:color w:val="auto"/>
      <w:sz w:val="24"/>
    </w:rPr>
  </w:style>
  <w:style w:type="character" w:customStyle="1" w:styleId="ListLabel103">
    <w:name w:val="ListLabel 103"/>
    <w:qFormat/>
    <w:rPr>
      <w:b/>
      <w:bCs/>
      <w:i w:val="0"/>
      <w:iCs/>
      <w:color w:val="auto"/>
      <w:sz w:val="24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 w:cs="Wingdings"/>
      <w:b/>
      <w:sz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18">
    <w:name w:val="ListLabel 118"/>
    <w:qFormat/>
    <w:rPr>
      <w:b/>
      <w:bCs/>
      <w:strike w:val="0"/>
      <w:dstrike w:val="0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  <w:strike w:val="0"/>
      <w:dstrike w:val="0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rFonts w:ascii="Times New Roman" w:hAnsi="Times New Roman" w:cs="Times New Roman"/>
      <w:sz w:val="24"/>
      <w:szCs w:val="24"/>
    </w:rPr>
  </w:style>
  <w:style w:type="character" w:customStyle="1" w:styleId="ListLabel131">
    <w:name w:val="ListLabel 131"/>
    <w:qFormat/>
    <w:rPr>
      <w:b/>
      <w:i w:val="0"/>
      <w:iCs/>
      <w:color w:val="auto"/>
    </w:rPr>
  </w:style>
  <w:style w:type="character" w:customStyle="1" w:styleId="ListLabel132">
    <w:name w:val="ListLabel 132"/>
    <w:qFormat/>
    <w:rPr>
      <w:b/>
    </w:rPr>
  </w:style>
  <w:style w:type="character" w:customStyle="1" w:styleId="ListLabel133">
    <w:name w:val="ListLabel 133"/>
    <w:qFormat/>
    <w:rPr>
      <w:b/>
    </w:rPr>
  </w:style>
  <w:style w:type="character" w:customStyle="1" w:styleId="ListLabel134">
    <w:name w:val="ListLabel 134"/>
    <w:qFormat/>
    <w:rPr>
      <w:b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b/>
    </w:rPr>
  </w:style>
  <w:style w:type="character" w:customStyle="1" w:styleId="ListLabel138">
    <w:name w:val="ListLabel 138"/>
    <w:qFormat/>
    <w:rPr>
      <w:b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41">
    <w:name w:val="ListLabel 141"/>
    <w:qFormat/>
    <w:rPr>
      <w:rFonts w:cs="Wingdings"/>
      <w:b/>
      <w:sz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Times New Roman" w:hAnsi="Times New Roman"/>
      <w:b/>
      <w:bCs/>
      <w:i w:val="0"/>
      <w:iCs/>
      <w:strike w:val="0"/>
      <w:dstrike w:val="0"/>
      <w:sz w:val="24"/>
    </w:rPr>
  </w:style>
  <w:style w:type="character" w:customStyle="1" w:styleId="ListLabel151">
    <w:name w:val="ListLabel 151"/>
    <w:qFormat/>
    <w:rPr>
      <w:rFonts w:ascii="Times New Roman" w:hAnsi="Times New Roman" w:cs="Times New Roman"/>
      <w:sz w:val="24"/>
      <w:szCs w:val="24"/>
    </w:rPr>
  </w:style>
  <w:style w:type="character" w:customStyle="1" w:styleId="ListLabel152">
    <w:name w:val="ListLabel 152"/>
    <w:qFormat/>
    <w:rPr>
      <w:b/>
      <w:i w:val="0"/>
      <w:iCs/>
      <w:color w:val="auto"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b/>
    </w:rPr>
  </w:style>
  <w:style w:type="character" w:customStyle="1" w:styleId="ListLabel160">
    <w:name w:val="ListLabel 160"/>
    <w:qFormat/>
    <w:rPr>
      <w:rFonts w:cs="Wingdings"/>
      <w:b/>
      <w:sz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b/>
      <w:bCs/>
      <w:i w:val="0"/>
      <w:iCs/>
      <w:strike w:val="0"/>
      <w:dstrike w:val="0"/>
      <w:sz w:val="24"/>
    </w:rPr>
  </w:style>
  <w:style w:type="character" w:customStyle="1" w:styleId="ListLabel170">
    <w:name w:val="ListLabel 170"/>
    <w:qFormat/>
    <w:rPr>
      <w:b/>
      <w:bCs/>
      <w:i w:val="0"/>
      <w:iCs/>
      <w:strike w:val="0"/>
      <w:dstrike w:val="0"/>
      <w:sz w:val="24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3247</Words>
  <Characters>18509</Characters>
  <Application>Microsoft Office Word</Application>
  <DocSecurity>0</DocSecurity>
  <Lines>154</Lines>
  <Paragraphs>43</Paragraphs>
  <ScaleCrop>false</ScaleCrop>
  <Company/>
  <LinksUpToDate>false</LinksUpToDate>
  <CharactersWithSpaces>21713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2025-01-29T14:18:00Z</dcterms:created>
  <dcterms:modified xsi:type="dcterms:W3CDTF">2025-01-29T14:18:00Z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