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479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№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1 </w:t>
      </w:r>
      <w:r>
        <w:rPr>
          <w:rFonts w:cs="Times New Roman" w:ascii="Times New Roman" w:hAnsi="Times New Roman"/>
          <w:sz w:val="24"/>
          <w:szCs w:val="24"/>
        </w:rPr>
        <w:t>к Договору №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479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________</w:t>
      </w:r>
      <w:r>
        <w:rPr>
          <w:rFonts w:cs="Times New Roman" w:ascii="Times New Roman" w:hAnsi="Times New Roman"/>
          <w:sz w:val="24"/>
          <w:szCs w:val="24"/>
          <w:lang w:val="en-US"/>
        </w:rPr>
        <w:t>__</w:t>
      </w:r>
      <w:r>
        <w:rPr>
          <w:rFonts w:cs="Times New Roman" w:ascii="Times New Roman" w:hAnsi="Times New Roman"/>
          <w:sz w:val="24"/>
          <w:szCs w:val="24"/>
        </w:rPr>
        <w:t>________2026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г.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479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479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479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479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479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479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hanging="360"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start="10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ПРОГРАММА МЕДИЦИНСКОГО ОБСЛУЖИВАНИЯ </w:t>
      </w:r>
    </w:p>
    <w:p>
      <w:pPr>
        <w:pStyle w:val="Normal"/>
        <w:widowControl w:val="false"/>
        <w:suppressAutoHyphens w:val="true"/>
        <w:spacing w:lineRule="auto" w:line="240" w:before="0" w:after="0"/>
        <w:ind w:start="10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«ДОЧКИ-СЫНОЧКИ» </w:t>
      </w:r>
      <w:r>
        <w:rPr>
          <w:rFonts w:cs="Times New Roman" w:ascii="Times New Roman" w:hAnsi="Times New Roman"/>
          <w:b/>
          <w:bCs/>
          <w:sz w:val="24"/>
          <w:szCs w:val="24"/>
        </w:rPr>
        <w:t>ПРЕМЬЕР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 (дети от 7 лет до 17 лет)</w:t>
      </w:r>
    </w:p>
    <w:p>
      <w:pPr>
        <w:pStyle w:val="Normal"/>
        <w:widowControl w:val="false"/>
        <w:suppressAutoHyphens w:val="true"/>
        <w:spacing w:lineRule="auto" w:line="240" w:before="0" w:after="0"/>
        <w:ind w:start="36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Стоимость программы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120 000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 w:eastAsia="ar-SA"/>
        </w:rPr>
        <w:t xml:space="preserve"> рублей</w:t>
      </w:r>
    </w:p>
    <w:p>
      <w:pPr>
        <w:pStyle w:val="Normal"/>
        <w:widowControl w:val="false"/>
        <w:suppressAutoHyphens w:val="true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5"/>
        </w:numPr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В случае обслуживания застрахованных клиентов Заказчика, проживающих </w:t>
      </w:r>
    </w:p>
    <w:p>
      <w:pPr>
        <w:pStyle w:val="Normal"/>
        <w:suppressAutoHyphens w:val="true"/>
        <w:spacing w:lineRule="auto" w:line="240" w:before="0" w:after="0"/>
        <w:ind w:start="36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>за пределами МКАД и в Московской области, вводятся повышающие коэффициенты на программу медицинского обслуживания:</w:t>
      </w:r>
    </w:p>
    <w:p>
      <w:pPr>
        <w:pStyle w:val="Normal"/>
        <w:suppressAutoHyphens w:val="true"/>
        <w:spacing w:lineRule="auto" w:line="240" w:before="0" w:after="0"/>
        <w:ind w:start="36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</w:r>
    </w:p>
    <w:tbl>
      <w:tblPr>
        <w:tblW w:w="10332" w:type="dxa"/>
        <w:jc w:val="start"/>
        <w:tblInd w:w="-572" w:type="dxa"/>
        <w:tblLayout w:type="fixed"/>
        <w:tblCellMar>
          <w:top w:w="0" w:type="dxa"/>
          <w:start w:w="103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7671"/>
        <w:gridCol w:w="2661"/>
      </w:tblGrid>
      <w:tr>
        <w:trPr/>
        <w:tc>
          <w:tcPr>
            <w:tcW w:w="7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ar-SA"/>
              </w:rPr>
              <w:t>Вызов на дом за МКАД, в пределах 15 км от МКАД</w:t>
            </w:r>
          </w:p>
        </w:tc>
        <w:tc>
          <w:tcPr>
            <w:tcW w:w="2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ar-SA"/>
              </w:rPr>
              <w:t>1,2</w:t>
            </w:r>
          </w:p>
        </w:tc>
      </w:tr>
      <w:tr>
        <w:trPr/>
        <w:tc>
          <w:tcPr>
            <w:tcW w:w="7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ar-SA"/>
              </w:rPr>
              <w:t>Вызов на дом за МКАД, в пределах 30 км от МКАД</w:t>
            </w:r>
          </w:p>
        </w:tc>
        <w:tc>
          <w:tcPr>
            <w:tcW w:w="2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ar-SA"/>
              </w:rPr>
              <w:t>1,4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start="360"/>
        <w:rPr>
          <w:rFonts w:ascii="Times New Roman" w:hAnsi="Times New Roman" w:eastAsia="Times New Roman" w:cs="Times New Roman"/>
          <w:sz w:val="24"/>
          <w:szCs w:val="24"/>
          <w:lang w:val="en-US"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ar-SA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Объем услуг, оказываемых по медицинским показаниям детям в возрасте от 7 лет до 17 лет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cs="Times New Roman" w:ascii="Times New Roman" w:hAnsi="Times New Roman"/>
          <w:sz w:val="24"/>
          <w:szCs w:val="24"/>
          <w:lang w:eastAsia="zh-CN" w:bidi="hi-IN"/>
        </w:rPr>
        <w:t>Обслуживание пациентов проводится при острых заболеваниях или при обострении хронических заболеваний в объеме медицинской помощи, предусмотренной данной программой, в соответствии с Лицензией на осуществление медицинской деятельности.</w:t>
      </w:r>
    </w:p>
    <w:p>
      <w:pPr>
        <w:pStyle w:val="Normal"/>
        <w:widowControl w:val="false"/>
        <w:suppressAutoHyphens w:val="true"/>
        <w:spacing w:lineRule="auto" w:line="240" w:before="0" w:after="0"/>
        <w:ind w:start="36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Style19"/>
        <w:widowControl w:val="false"/>
        <w:numPr>
          <w:ilvl w:val="0"/>
          <w:numId w:val="4"/>
        </w:numPr>
        <w:ind w:hanging="426" w:start="426"/>
        <w:rPr>
          <w:szCs w:val="24"/>
          <w:lang w:val="ru-RU"/>
        </w:rPr>
      </w:pPr>
      <w:r>
        <w:rPr>
          <w:szCs w:val="24"/>
          <w:lang w:val="ru-RU"/>
        </w:rPr>
        <w:t>АМБУЛАТОРНО-ПОЛИКЛИНИЧЕСКАЯ ПОМОЩЬ В ПОЛИКЛИНИКЕ ОКАЗЫВАЕТСЯ ТОЛЬКО ПО НАЗНАЧЕНИЮ ВРАЧА: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bookmarkStart w:id="0" w:name="_Hlk40798266"/>
      <w:bookmarkStart w:id="1" w:name="_Hlk41416103"/>
      <w:bookmarkEnd w:id="0"/>
      <w:bookmarkEnd w:id="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Приемы, осмотры, консультации врача педиатра </w:t>
      </w:r>
      <w:bookmarkStart w:id="2" w:name="_Hlk41416103_Копия_1"/>
      <w:bookmarkEnd w:id="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в клинике —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без ограничений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;</w:t>
      </w:r>
    </w:p>
    <w:p>
      <w:pPr>
        <w:pStyle w:val="Normal"/>
        <w:numPr>
          <w:ilvl w:val="1"/>
          <w:numId w:val="4"/>
        </w:numPr>
        <w:ind w:hanging="0" w:star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Личный врач-педиатр (только по версии Премьер) консультация с 8.00 до 22.00 — без ограничений;</w:t>
      </w:r>
    </w:p>
    <w:p>
      <w:pPr>
        <w:pStyle w:val="Normal"/>
        <w:numPr>
          <w:ilvl w:val="1"/>
          <w:numId w:val="4"/>
        </w:numPr>
        <w:ind w:hanging="0" w:star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2"/>
          <w:sz w:val="24"/>
          <w:szCs w:val="24"/>
          <w:lang w:val="ru-RU"/>
        </w:rPr>
        <w:t>консультация педиатра онлайн — без ограничений;</w:t>
      </w:r>
    </w:p>
    <w:p>
      <w:pPr>
        <w:pStyle w:val="Normal"/>
        <w:numPr>
          <w:ilvl w:val="1"/>
          <w:numId w:val="4"/>
        </w:numPr>
        <w:ind w:hanging="0" w:star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 xml:space="preserve">Приемы, осмотры, консультации врачами специалистами по назначению врача- </w:t>
      </w:r>
      <w:r>
        <w:rPr>
          <w:rFonts w:cs="Times New Roman" w:ascii="Times New Roman" w:hAnsi="Times New Roman"/>
          <w:b/>
          <w:bCs/>
          <w:kern w:val="2"/>
          <w:sz w:val="24"/>
          <w:szCs w:val="24"/>
          <w:lang w:val="ru-RU"/>
        </w:rPr>
        <w:t>педиатра не более 1</w:t>
      </w:r>
      <w:r>
        <w:rPr>
          <w:rFonts w:cs="Times New Roman" w:ascii="Times New Roman" w:hAnsi="Times New Roman"/>
          <w:b/>
          <w:bCs/>
          <w:kern w:val="2"/>
          <w:sz w:val="24"/>
          <w:szCs w:val="24"/>
          <w:lang w:val="ru-RU"/>
        </w:rPr>
        <w:t>5</w:t>
      </w:r>
      <w:r>
        <w:rPr>
          <w:rFonts w:cs="Times New Roman" w:ascii="Times New Roman" w:hAnsi="Times New Roman"/>
          <w:b/>
          <w:bCs/>
          <w:kern w:val="2"/>
          <w:sz w:val="24"/>
          <w:szCs w:val="24"/>
          <w:lang w:val="ru-RU"/>
        </w:rPr>
        <w:t xml:space="preserve"> приемов всего: аллерголога-иммунолога, гастроэнтеролога, гинеколога, дерматолога, кардиолога, невролога, отоларинголога, офтальмолога, травматолога-ортопеда, уролога, физиотерапевта, хирурга, эндокринолога </w:t>
      </w:r>
      <w:r>
        <w:rPr>
          <w:rFonts w:cs="Times New Roman" w:ascii="Times New Roman" w:hAnsi="Times New Roman"/>
          <w:b/>
          <w:bCs/>
          <w:kern w:val="2"/>
          <w:sz w:val="24"/>
          <w:szCs w:val="24"/>
          <w:lang w:val="ru-RU"/>
        </w:rPr>
        <w:t>и др.</w:t>
      </w:r>
      <w:r>
        <w:rPr>
          <w:rFonts w:cs="Times New Roman" w:ascii="Times New Roman" w:hAnsi="Times New Roman"/>
          <w:b/>
          <w:bCs/>
          <w:kern w:val="2"/>
          <w:sz w:val="24"/>
          <w:szCs w:val="24"/>
          <w:lang w:val="ru-RU"/>
        </w:rPr>
        <w:t>;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Лабораторная диагностика </w:t>
      </w:r>
      <w:r>
        <w:rPr>
          <w:rFonts w:cs="Times New Roman" w:ascii="Times New Roman" w:hAnsi="Times New Roman"/>
          <w:b/>
          <w:bCs/>
          <w:sz w:val="24"/>
          <w:szCs w:val="24"/>
        </w:rPr>
        <w:t>(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по назначению </w:t>
      </w:r>
      <w:bookmarkStart w:id="3" w:name="_Hlk49345398"/>
      <w:r>
        <w:rPr>
          <w:rFonts w:cs="Times New Roman" w:ascii="Times New Roman" w:hAnsi="Times New Roman"/>
          <w:b/>
          <w:bCs/>
          <w:sz w:val="24"/>
          <w:szCs w:val="24"/>
        </w:rPr>
        <w:t>врача</w:t>
      </w:r>
      <w:bookmarkEnd w:id="3"/>
      <w:r>
        <w:rPr>
          <w:rFonts w:cs="Times New Roman" w:ascii="Times New Roman" w:hAnsi="Times New Roman"/>
          <w:b/>
          <w:bCs/>
          <w:sz w:val="24"/>
          <w:szCs w:val="24"/>
        </w:rPr>
        <w:t>)</w:t>
      </w:r>
      <w:r>
        <w:rPr>
          <w:rFonts w:cs="Times New Roman" w:ascii="Times New Roman" w:hAnsi="Times New Roman"/>
          <w:b/>
          <w:bCs/>
          <w:sz w:val="24"/>
          <w:szCs w:val="24"/>
        </w:rPr>
        <w:t>: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bookmarkStart w:id="4" w:name="_Hlk49345398_Копия_1"/>
      <w:bookmarkEnd w:id="4"/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-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общеклинические (общий анализ крови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8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 раз+общий анализ мочи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8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 раз);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-биохимические (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20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 показателей);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-</w:t>
      </w:r>
      <w:bookmarkStart w:id="5" w:name="_Hlk40799007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бактериологические (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Микробиологическое (культуральное) исследование мазка из зева на палочку дифтерии; Культуральные исследования на стрептококк группы A; Исследование ректального мазка (фекалий) на колипатогенную группу; Посев на флору и чувствительность к антибиотикам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  <w:lang w:val="ru-RU"/>
        </w:rPr>
        <w:t>)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 </w:t>
      </w:r>
      <w:bookmarkEnd w:id="5"/>
      <w:r>
        <w:rPr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lang w:val="ru-RU" w:eastAsia="zh-CN" w:bidi="hi-IN"/>
        </w:rPr>
        <w:t xml:space="preserve">(всего </w:t>
      </w:r>
      <w:r>
        <w:rPr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lang w:val="ru-RU" w:eastAsia="zh-CN" w:bidi="hi-IN"/>
        </w:rPr>
        <w:t>8</w:t>
      </w:r>
      <w:r>
        <w:rPr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lang w:val="ru-RU" w:eastAsia="zh-CN" w:bidi="hi-IN"/>
        </w:rPr>
        <w:t xml:space="preserve"> показателей)</w:t>
      </w:r>
      <w:bookmarkStart w:id="6" w:name="_Hlk33517575"/>
      <w:bookmarkEnd w:id="6"/>
      <w:r>
        <w:rPr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lang w:val="ru-RU" w:eastAsia="zh-CN" w:bidi="hi-IN"/>
        </w:rPr>
        <w:t>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-гистологические — без ограничений;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-серологические (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8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показателей);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-гормоны щитовидной железы 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2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раз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а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-иммунологические исследования (общий </w:t>
      </w:r>
      <w:r>
        <w:rPr>
          <w:rFonts w:ascii="Times New Roman" w:hAnsi="Times New Roman"/>
          <w:b w:val="false"/>
          <w:bCs w:val="false"/>
          <w:sz w:val="24"/>
          <w:szCs w:val="24"/>
          <w:lang w:val="en-US"/>
        </w:rPr>
        <w:t xml:space="preserve">IgE, 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АТ к ТПО и ТГ) — суммарно 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5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исследовани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й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-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П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ЦР исследования (кроме молекулярно-генетических) — суммарно 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5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показател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ей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-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витамин Д (25-ОН) (1 раз)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Инструментальные методы диагностики: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-ультразвуковые исследования (</w:t>
      </w:r>
      <w:r>
        <w:rPr>
          <w:rFonts w:cs="Times New Roman" w:ascii="Times New Roman" w:hAnsi="Times New Roman"/>
          <w:sz w:val="24"/>
          <w:szCs w:val="24"/>
          <w:lang w:val="ru-RU"/>
        </w:rPr>
        <w:t>8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исследований за период обслуживания); 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-рентген, ЭКГ — без ограничений;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ЭХО-КГ – </w:t>
      </w:r>
      <w:r>
        <w:rPr>
          <w:rFonts w:ascii="Times New Roman" w:hAnsi="Times New Roman"/>
          <w:sz w:val="24"/>
          <w:szCs w:val="24"/>
        </w:rPr>
        <w:t>2 раза</w:t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Холтер-мониторинг ЭКГ — </w:t>
      </w:r>
      <w:r>
        <w:rPr>
          <w:rFonts w:ascii="Times New Roman" w:hAnsi="Times New Roman"/>
          <w:sz w:val="24"/>
          <w:szCs w:val="24"/>
        </w:rPr>
        <w:t>2 раза</w:t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Дуплексное сканирование сосудов (одной области) — однократно;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Эндоскопические исследования (ЭГДС) — однократно.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1"/>
          <w:numId w:val="4"/>
        </w:numPr>
        <w:ind w:hanging="0" w:start="0"/>
        <w:jc w:val="both"/>
        <w:rPr>
          <w:sz w:val="24"/>
          <w:szCs w:val="24"/>
        </w:rPr>
      </w:pPr>
      <w:bookmarkStart w:id="7" w:name="_Hlk49345548_Копия_1"/>
      <w:bookmarkStart w:id="8" w:name="_Hlk49345548"/>
      <w:bookmarkEnd w:id="7"/>
      <w:bookmarkEnd w:id="8"/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Общие манипуляции и процедуры кроме курсовых процедур: п/к, в/м инъекции (кроме в/в капельных и курсовых инъекций), перевязки, наложение гипсовых повязок, ургентные малые хирургические операции, ЛОР-заболевания курсовое лечение — без ограничений;</w:t>
      </w:r>
      <w:bookmarkStart w:id="9" w:name="_Hlk49345548_Копия_1_Копия_1"/>
      <w:bookmarkEnd w:id="9"/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Физиотерапевтическое лечение:</w:t>
      </w:r>
      <w:r>
        <w:rPr>
          <w:rFonts w:cs="Times New Roman" w:ascii="Times New Roman" w:hAnsi="Times New Roman"/>
          <w:sz w:val="24"/>
          <w:szCs w:val="24"/>
        </w:rPr>
        <w:t xml:space="preserve"> электролечение, светолечение, теплолечение, лазеротерапия, магнитотерапия, фонофорез — </w:t>
      </w:r>
      <w:r>
        <w:rPr>
          <w:rFonts w:cs="Times New Roman" w:ascii="Times New Roman" w:hAnsi="Times New Roman"/>
          <w:sz w:val="24"/>
          <w:szCs w:val="24"/>
        </w:rPr>
        <w:t>без ограничений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Классический лечебный массаж в поликлинике/</w:t>
      </w:r>
      <w:r>
        <w:rPr>
          <w:rFonts w:cs="Times New Roman" w:ascii="Times New Roman" w:hAnsi="Times New Roman"/>
          <w:b/>
          <w:bCs/>
          <w:sz w:val="24"/>
          <w:szCs w:val="24"/>
        </w:rPr>
        <w:t>на дому</w:t>
      </w:r>
      <w:r>
        <w:rPr>
          <w:rFonts w:cs="Times New Roman" w:ascii="Times New Roman" w:hAnsi="Times New Roman"/>
          <w:sz w:val="24"/>
          <w:szCs w:val="24"/>
        </w:rPr>
        <w:t xml:space="preserve"> 1 курс (до 10 процедур) в течение годового прикрепления;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40797333"/>
      <w:r>
        <w:rPr>
          <w:rFonts w:cs="Times New Roman" w:ascii="Times New Roman" w:hAnsi="Times New Roman"/>
          <w:b/>
          <w:bCs/>
          <w:sz w:val="24"/>
          <w:szCs w:val="24"/>
        </w:rPr>
        <w:t xml:space="preserve">Оформление медицинской документации: </w:t>
      </w:r>
      <w:bookmarkStart w:id="11" w:name="_Hlk40797591_Копия_1_Копия_1"/>
      <w:bookmarkStart w:id="12" w:name="_Hlk40797591_Копия_1"/>
      <w:bookmarkEnd w:id="10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выдача листков нетрудоспособности (в т.ч. электронных) родителям по уходу за больным ребенком; выписка направлений на консультации и обследования; оформление выписки из медицинской карты; оформление справки в бассейн (ф. № 59, включает оформление справки и анализы); оформление санаторно-курортной карты (ф. 076/у) (1 экземпляр) без анализов и обследований; оформление справки для получения путевки в санаторий (№ 070у)</w:t>
      </w:r>
      <w:bookmarkEnd w:id="12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; оформление справки ф. № 079/у для лагеря</w:t>
      </w:r>
      <w:bookmarkEnd w:id="11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;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оформление прививочной карты для сторонних организаций (ф. № 63/у); оформление медицинской карты ребенка для образовательных учреждений (ф. № 026/у) без анализов и обследований;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9"/>
        <w:widowControl w:val="false"/>
        <w:numPr>
          <w:ilvl w:val="0"/>
          <w:numId w:val="4"/>
        </w:numPr>
        <w:ind w:hanging="0" w:start="0"/>
        <w:rPr>
          <w:szCs w:val="24"/>
          <w:lang w:val="ru-RU"/>
        </w:rPr>
      </w:pPr>
      <w:r>
        <w:rPr>
          <w:szCs w:val="24"/>
          <w:lang w:val="ru-RU"/>
        </w:rPr>
        <w:t>ПОМОЩЬ НА ДОМУ ПО ОСТРОМУ ЗАБОЛЕВАНИЮ:</w:t>
      </w:r>
    </w:p>
    <w:p>
      <w:pPr>
        <w:pStyle w:val="Normal"/>
        <w:spacing w:lineRule="auto" w:line="240" w:before="0" w:after="0"/>
        <w:ind w:star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помощь на дому по острому заболеванию не более </w:t>
      </w:r>
      <w:r>
        <w:rPr>
          <w:rFonts w:cs="Times New Roman" w:ascii="Times New Roman" w:hAnsi="Times New Roman"/>
          <w:b/>
          <w:bCs/>
          <w:sz w:val="24"/>
          <w:szCs w:val="24"/>
        </w:rPr>
        <w:t>7</w:t>
      </w:r>
      <w:r>
        <w:rPr>
          <w:rFonts w:cs="Times New Roman" w:ascii="Times New Roman" w:hAnsi="Times New Roman"/>
          <w:b/>
          <w:bCs/>
          <w:sz w:val="24"/>
          <w:szCs w:val="24"/>
        </w:rPr>
        <w:t>-</w:t>
      </w:r>
      <w:r>
        <w:rPr>
          <w:rFonts w:cs="Times New Roman" w:ascii="Times New Roman" w:hAnsi="Times New Roman"/>
          <w:b/>
          <w:bCs/>
          <w:sz w:val="24"/>
          <w:szCs w:val="24"/>
        </w:rPr>
        <w:t>м</w:t>
      </w:r>
      <w:r>
        <w:rPr>
          <w:rFonts w:cs="Times New Roman" w:ascii="Times New Roman" w:hAnsi="Times New Roman"/>
          <w:b/>
          <w:bCs/>
          <w:sz w:val="24"/>
          <w:szCs w:val="24"/>
        </w:rPr>
        <w:t>и раз</w:t>
      </w:r>
      <w:r>
        <w:rPr>
          <w:rFonts w:cs="Times New Roman" w:ascii="Times New Roman" w:hAnsi="Times New Roman"/>
          <w:sz w:val="24"/>
          <w:szCs w:val="24"/>
        </w:rPr>
        <w:t xml:space="preserve"> за период прикрепления </w:t>
      </w:r>
      <w:bookmarkStart w:id="13" w:name="_Hlk49263990"/>
      <w:r>
        <w:rPr>
          <w:rFonts w:cs="Times New Roman" w:ascii="Times New Roman" w:hAnsi="Times New Roman"/>
          <w:sz w:val="24"/>
          <w:szCs w:val="24"/>
        </w:rPr>
        <w:t xml:space="preserve">оказывается пациентам, которые по состоянию здоровья, характеру заболевания не могут посетить поликлинику, нуждаются в постельном режиме, наблюдении врача; включает в себя: вызов дежурного  врача-педиатра на дом в пределах МКАД и в пределах 30 км от МКАД при наличии прикрепления согласно повышающим коэффициентам за проживание за пределами МКАД. </w:t>
      </w:r>
    </w:p>
    <w:p>
      <w:pPr>
        <w:pStyle w:val="Normal"/>
        <w:spacing w:lineRule="auto" w:line="240" w:before="0" w:after="0"/>
        <w:ind w:star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Выезд педиатра на дом не предусматривает оказание скорой и неотложной помощи</w:t>
      </w:r>
      <w:bookmarkEnd w:id="13"/>
    </w:p>
    <w:p>
      <w:pPr>
        <w:pStyle w:val="Normal"/>
        <w:spacing w:lineRule="auto" w:line="240" w:before="0" w:after="0"/>
        <w:ind w:star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9"/>
        <w:widowControl w:val="false"/>
        <w:numPr>
          <w:ilvl w:val="0"/>
          <w:numId w:val="4"/>
        </w:numPr>
        <w:overflowPunct w:val="true"/>
        <w:ind w:hanging="0" w:start="0"/>
        <w:rPr>
          <w:szCs w:val="24"/>
          <w:lang w:val="ru-RU"/>
        </w:rPr>
      </w:pPr>
      <w:r>
        <w:rPr>
          <w:szCs w:val="24"/>
          <w:lang w:val="ru-RU"/>
        </w:rPr>
        <w:t>ПЛАНОВЫЕ И ПРОФИЛАКТИЧЕСКИЕ МЕРОПРИЯТИЯ: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59" w:before="0" w:after="160"/>
        <w:ind w:hanging="0" w:start="0" w:end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sz w:val="24"/>
          <w:szCs w:val="24"/>
          <w:lang w:val="ru-RU" w:eastAsia="ar-SA"/>
        </w:rPr>
        <w:t>Профилактические мероприятия согласно приказу МЗ РФ 211 н от 14.04.2025 г. «Об утверждении порядка прохождения несовершеннолетними профилактических медицинских осмотров» проводятся в поликлинике: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ПЛАНОВАЯ ДИСПАНСЕРИЗАЦИЯ с 7 до 17 лет – однократно за период действия программы</w:t>
      </w:r>
    </w:p>
    <w:tbl>
      <w:tblPr>
        <w:tblStyle w:val="af8"/>
        <w:tblW w:w="9476" w:type="dxa"/>
        <w:jc w:val="start"/>
        <w:tblInd w:w="-13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38"/>
        <w:gridCol w:w="2136"/>
        <w:gridCol w:w="2489"/>
        <w:gridCol w:w="2213"/>
      </w:tblGrid>
      <w:tr>
        <w:trPr/>
        <w:tc>
          <w:tcPr>
            <w:tcW w:w="2638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Возрастные периоды, в которые проводятся профилактические медицинские осмотры несовершеннолетних</w:t>
            </w:r>
          </w:p>
        </w:tc>
        <w:tc>
          <w:tcPr>
            <w:tcW w:w="2136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Осмотры</w:t>
            </w:r>
          </w:p>
        </w:tc>
        <w:tc>
          <w:tcPr>
            <w:tcW w:w="2489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Лабораторные, функциональные и иные исследования</w:t>
            </w:r>
          </w:p>
        </w:tc>
        <w:tc>
          <w:tcPr>
            <w:tcW w:w="2213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Функциональная диагностика</w:t>
            </w:r>
          </w:p>
        </w:tc>
      </w:tr>
      <w:tr>
        <w:trPr/>
        <w:tc>
          <w:tcPr>
            <w:tcW w:w="2638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7-17 лет</w:t>
            </w:r>
          </w:p>
        </w:tc>
        <w:tc>
          <w:tcPr>
            <w:tcW w:w="2136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Офтальмолог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Невролог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травматолог-ортопед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отоларинголог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уролог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гинеколог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психиатр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стоматолог</w:t>
            </w:r>
          </w:p>
        </w:tc>
        <w:tc>
          <w:tcPr>
            <w:tcW w:w="2489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Общий анализ крови 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анализ мочи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холестерин</w:t>
            </w:r>
          </w:p>
        </w:tc>
        <w:tc>
          <w:tcPr>
            <w:tcW w:w="2213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star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ЭКГ</w:t>
            </w:r>
          </w:p>
        </w:tc>
      </w:tr>
    </w:tbl>
    <w:p>
      <w:pPr>
        <w:pStyle w:val="ListParagraph"/>
        <w:spacing w:lineRule="auto" w:line="240" w:before="0" w:after="0"/>
        <w:ind w:firstLine="37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Календарь вакцинопрофилактики</w:t>
      </w:r>
    </w:p>
    <w:tbl>
      <w:tblPr>
        <w:tblW w:w="9776" w:type="dxa"/>
        <w:jc w:val="start"/>
        <w:tblInd w:w="-43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828"/>
        <w:gridCol w:w="5948"/>
      </w:tblGrid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профилактической вакцины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в 7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проба Манту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с 8 до 15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Диаскинтест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14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ревакцинация против дифтерии, столбняка , полиомиелита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9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с 7 до 17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star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Вакцинация против гриппа ежегодно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924" w:leader="none"/>
        </w:tabs>
        <w:spacing w:lineRule="auto" w:line="240" w:before="0" w:after="0"/>
        <w:ind w:hanging="0" w:start="0"/>
        <w:jc w:val="star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Профилактические прививки проводится только в условиях поликлиники.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924" w:leader="none"/>
        </w:tabs>
        <w:suppressAutoHyphens w:val="true"/>
        <w:bidi w:val="0"/>
        <w:spacing w:before="0" w:after="0"/>
        <w:ind w:hanging="0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Вакцинопрофилактика проводится в объемы и сроки, регламентированные Приказом от «06» декабря 2021 г. № 1122 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 (в ред. Приказа Минздрава РФ от 12.12.2023 п. 677 н). При наличии медицинских противопоказаний вакцинация проводится по индивидуальному календарю прививок.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924" w:leader="none"/>
        </w:tabs>
        <w:suppressAutoHyphens w:val="true"/>
        <w:bidi w:val="0"/>
        <w:spacing w:before="0" w:after="0"/>
        <w:ind w:hanging="0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val="ru-RU" w:eastAsia="ar-SA"/>
        </w:rPr>
        <w:t>Вакцинация, не проведённая в соответствии с возрастом, проводится за дополнительную плату (включая стоимость осмотра врача педиатра, перед вакцинацией)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924" w:leader="none"/>
        </w:tabs>
        <w:suppressAutoHyphens w:val="true"/>
        <w:bidi w:val="0"/>
        <w:spacing w:before="0" w:after="0"/>
        <w:ind w:hanging="0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924" w:leader="none"/>
        </w:tabs>
        <w:suppressAutoHyphens w:val="true"/>
        <w:bidi w:val="0"/>
        <w:spacing w:before="0" w:after="0"/>
        <w:ind w:firstLine="3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val="ru-RU" w:eastAsia="ar-S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ПОРЯДОК ПРЕДОСТАВЛЕНИЯ МЕДИЦИНСКОЙ ПОМОЩИ ПО ПРОГРАММЕ «ДОЧКИ-СЫНОЧКИ» </w:t>
      </w:r>
      <w:r>
        <w:rPr>
          <w:rFonts w:ascii="Times New Roman" w:hAnsi="Times New Roman"/>
          <w:b/>
          <w:bCs/>
          <w:sz w:val="24"/>
          <w:szCs w:val="24"/>
        </w:rPr>
        <w:t>ПРЕМЬЕР</w:t>
      </w:r>
      <w:r>
        <w:rPr>
          <w:rFonts w:ascii="Times New Roman" w:hAnsi="Times New Roman"/>
          <w:b/>
          <w:bCs/>
          <w:sz w:val="24"/>
          <w:szCs w:val="24"/>
        </w:rPr>
        <w:t xml:space="preserve"> ДЛЯ ДЕТЕЙ В ВОЗРАСТЕ ОТ 7 ДО 17 ЛЕТ: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Медицинская помощь Исполнителем оказывается в соответствии с Правилами внутреннего распорядка и фактическими возможностями клиники.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45613450"/>
      <w:r>
        <w:rPr>
          <w:rFonts w:cs="Times New Roman" w:ascii="Times New Roman" w:hAnsi="Times New Roman"/>
          <w:sz w:val="24"/>
          <w:szCs w:val="24"/>
        </w:rPr>
        <w:t>В соответствии с Федеральным законом "Об основах охраны здоровья граждан в Российской Федерации" от 21.11.2011 N 323-ФЗ прием врача и проведение манипуляций детям, не достигшим 15-летнего возраста, проводится только в присутствии Законного представителя или уполномоченных представителей Пациента.</w:t>
      </w:r>
      <w:bookmarkEnd w:id="14"/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Медицинские услуги оказываются в соответствии с режимом работы Поликлиники с 8.00 до 22.00 без выходных.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Врач - педиатр или менеджер сопровождения договора связывается с Законным представителем в течении 2-3 дней с момента подписания договора и внесения денежных средств по телефону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/>
      </w:pPr>
      <w:bookmarkStart w:id="15" w:name="_Hlk49264722"/>
      <w:bookmarkStart w:id="16" w:name="_Hlk49509904"/>
      <w:r>
        <w:rPr>
          <w:rFonts w:cs="Times New Roman" w:ascii="Times New Roman" w:hAnsi="Times New Roman"/>
          <w:sz w:val="24"/>
          <w:szCs w:val="24"/>
        </w:rPr>
        <w:t xml:space="preserve">Запись на прием к врачу в клинику осуществляется через круглосуточный контакт центр: +7(495) 925-88-78, через личный кабинет  на сайте </w:t>
      </w:r>
      <w:hyperlink r:id="rId2">
        <w:r>
          <w:rPr>
            <w:rStyle w:val="Style7"/>
            <w:rFonts w:cs="Times New Roman" w:ascii="Times New Roman" w:hAnsi="Times New Roman"/>
            <w:sz w:val="24"/>
            <w:szCs w:val="24"/>
          </w:rPr>
          <w:t>https://lk.zub.ru</w:t>
        </w:r>
      </w:hyperlink>
      <w:r>
        <w:rPr>
          <w:rFonts w:cs="Times New Roman" w:ascii="Times New Roman" w:hAnsi="Times New Roman"/>
          <w:sz w:val="24"/>
          <w:szCs w:val="24"/>
        </w:rPr>
        <w:t xml:space="preserve">, через собственное  мобильное приложение  или через чат с сотрудником на сайте </w:t>
      </w:r>
      <w:hyperlink r:id="rId3">
        <w:r>
          <w:rPr>
            <w:rStyle w:val="Style7"/>
            <w:rFonts w:cs="Times New Roman" w:ascii="Times New Roman" w:hAnsi="Times New Roman"/>
            <w:sz w:val="24"/>
            <w:szCs w:val="24"/>
          </w:rPr>
          <w:t>https://polyclinika.ru/</w:t>
        </w:r>
      </w:hyperlink>
      <w:bookmarkEnd w:id="16"/>
      <w:r>
        <w:rPr>
          <w:rFonts w:cs="Times New Roman" w:ascii="Times New Roman" w:hAnsi="Times New Roman"/>
          <w:sz w:val="24"/>
          <w:szCs w:val="24"/>
        </w:rPr>
        <w:t xml:space="preserve">  </w:t>
      </w:r>
      <w:bookmarkEnd w:id="15"/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Вызов на дом по заболеванию принимается по телефону: +7(495) 925-88-78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Прием вызовов осуществляется с 9:00 до 21:00.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Вызовы врача на дом, поступившие до 14:00, осуществляются в тот же день, поступившие после 14:00 осуществляются на следующий день. 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Помощь на дому осуществляется 7 дней в неделю включая праздничные дни.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вызове врача на дом по заболеванию обслуживание на дому осуществляется врачом - педиатром или дежурным педиатром.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jc w:val="start"/>
        <w:rPr>
          <w:color w:val="auto"/>
          <w:szCs w:val="24"/>
        </w:rPr>
      </w:pPr>
      <w:r>
        <w:rPr>
          <w:color w:val="auto"/>
          <w:szCs w:val="24"/>
        </w:rPr>
        <w:t>Медицинская помощь на дому оказывается по фактическому адресу проживания Пациента указанному строго в договоре:</w:t>
      </w:r>
      <w:r>
        <w:rPr>
          <w:bCs/>
          <w:color w:val="auto"/>
          <w:szCs w:val="24"/>
        </w:rPr>
        <w:t xml:space="preserve">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7" w:name="__DdeLink__8341_817890463"/>
      <w:bookmarkEnd w:id="17"/>
      <w:r>
        <w:rPr>
          <w:rFonts w:cs="Times New Roman" w:ascii="Times New Roman" w:hAnsi="Times New Roman"/>
          <w:sz w:val="24"/>
          <w:szCs w:val="24"/>
        </w:rPr>
        <w:t>В случае опоздания на прием в поликлинику, более чем на 50% времени приема Пациент будет принят при первой возможности.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>По всем вопросам медицинского обслуживания, в том числе лечения и диагностического обследования, Законный представитель Пациента обращается к врачу - педиатру или менеджеру по сопровождению.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Внеплановая помощь при наличии экстренных и неотложных медицинских показаний при обращении в Поликлинику оказывается по факту обращения.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>Общение законного представителя Пациента с сотрудниками Поликлиники производится в корректной форме.</w:t>
      </w:r>
    </w:p>
    <w:p>
      <w:pPr>
        <w:pStyle w:val="21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 xml:space="preserve"> </w:t>
      </w:r>
      <w:r>
        <w:rPr>
          <w:color w:val="auto"/>
          <w:szCs w:val="24"/>
        </w:rPr>
        <w:t>Законные представители Пациента обязаны выполнять требования, обеспечивающие качественное предоставление медицинских услуг (в части исполнения диагностических и лечебных мероприятий, процедур и манипуляций, назначенных врачом и врачами-консультантами).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Законный представитель Пациента </w:t>
      </w:r>
      <w:r>
        <w:rPr>
          <w:rStyle w:val="CommentReference"/>
          <w:rFonts w:cs="Times New Roman" w:ascii="Times New Roman" w:hAnsi="Times New Roman"/>
          <w:sz w:val="24"/>
          <w:szCs w:val="24"/>
        </w:rPr>
        <w:t>обязан</w:t>
      </w:r>
      <w:r>
        <w:rPr>
          <w:rFonts w:cs="Times New Roman" w:ascii="Times New Roman" w:hAnsi="Times New Roman"/>
          <w:sz w:val="24"/>
          <w:szCs w:val="24"/>
        </w:rPr>
        <w:t xml:space="preserve"> предоставить врачу и врачам-специалистам полную и достоверную информацию об анамнезе и состоянии здоровья Пациента.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заключении договора на медицинское обслуживание Законный представитель Пациента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обязан предоставить достоверную информацию о состоянии здоровья Пациента. При наличии: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перинатальной патологии (для детей первых 6 месяцев жизни): недоношенность, асфиксия средней и тяжелой степени, гемолитическая болезнь новорожденных, СДР, Внутриутробная инфекция, гнойно- септические заболевания в раннем неонатальном периоде, анемия новорожденных, диабетическая фетопатия, нарушение мозгового кровообращения 2-3 степени, родовая травма.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имеющихся хронических заболеваниях, требующих динамического наблюдения и клинико-лабораторного контроля.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сведения о них должны присутствовать в предоставленных медицинских документах.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Поликлиника оставляет за собой право ввести повышающий коэффициент в случае                                   </w:t>
      </w:r>
    </w:p>
    <w:p>
      <w:pPr>
        <w:pStyle w:val="ListParagraph"/>
        <w:spacing w:lineRule="auto" w:line="240" w:before="0" w:after="0"/>
        <w:ind w:star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выявления патологии, указанной в перечне заболеваний, исключенных программой. А также Поликлиника оставляет за собой право приостановить оказание медицинских услуг по данному заболеванию в рамках действующего Договора.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выявлении патологии, указанной в п.29, дальнейшее медицинское обслуживание осуществляться в рамках подписанного дополнительного соглашения о введении повышающего коэффициента или расторгает договор согласно условиям прописанных в Договоре.</w:t>
      </w:r>
      <w:bookmarkStart w:id="18" w:name="_Hlk49531490"/>
      <w:bookmarkEnd w:id="18"/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hanging="0" w:start="142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ДОПОЛНИТЕЛЬНЫЕ СЕРВИСНЫЕ УСЛУГИ, ВХОДЯЩИЕ В ПРОГРАММУ МЕДИЦИНСКОГО ОБСЛУЖИВАНИЯ: 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start="0"/>
        <w:contextualSpacing/>
        <w:jc w:val="both"/>
        <w:rPr>
          <w:b/>
          <w:bCs/>
        </w:rPr>
      </w:pPr>
      <w:r>
        <w:rPr>
          <w:rFonts w:cs="Times New Roman" w:ascii="Times New Roman" w:hAnsi="Times New Roman"/>
          <w:b/>
          <w:bCs/>
          <w:iCs/>
          <w:kern w:val="2"/>
          <w:sz w:val="24"/>
          <w:szCs w:val="24"/>
        </w:rPr>
        <w:t xml:space="preserve">- Личный менеджер по сопровождению на весь срок прикрепления; 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b/>
          <w:bCs/>
          <w:iCs/>
          <w:kern w:val="2"/>
          <w:sz w:val="24"/>
          <w:szCs w:val="24"/>
        </w:rPr>
      </w:pPr>
      <w:r>
        <w:rPr>
          <w:rFonts w:cs="Times New Roman" w:ascii="Times New Roman" w:hAnsi="Times New Roman"/>
          <w:b/>
          <w:bCs/>
          <w:iCs/>
          <w:kern w:val="2"/>
          <w:sz w:val="24"/>
          <w:szCs w:val="24"/>
        </w:rPr>
        <w:t>- Прямая связь с персональным менеджером по телефону в соответствии с графиком работы персонального менеджера;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b/>
          <w:bCs/>
          <w:iCs/>
          <w:kern w:val="2"/>
          <w:sz w:val="24"/>
          <w:szCs w:val="24"/>
        </w:rPr>
      </w:pPr>
      <w:bookmarkStart w:id="19" w:name="_Hlk41498491"/>
      <w:bookmarkEnd w:id="19"/>
      <w:r>
        <w:rPr>
          <w:rFonts w:cs="Times New Roman" w:ascii="Times New Roman" w:hAnsi="Times New Roman"/>
          <w:b/>
          <w:bCs/>
          <w:iCs/>
          <w:kern w:val="2"/>
          <w:sz w:val="24"/>
          <w:szCs w:val="24"/>
        </w:rPr>
        <w:t xml:space="preserve">- </w:t>
      </w:r>
      <w:r>
        <w:rPr>
          <w:rFonts w:cs="Times New Roman" w:ascii="Times New Roman" w:hAnsi="Times New Roman"/>
          <w:b/>
          <w:bCs/>
          <w:iCs/>
          <w:kern w:val="2"/>
          <w:sz w:val="24"/>
          <w:szCs w:val="24"/>
          <w:lang w:val="ru-RU" w:eastAsia="en-US"/>
        </w:rPr>
        <w:t>Связь с зав. Отделением или главным врачом по телефону в будни с 9.00 до 18.00;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b/>
          <w:bCs/>
          <w:iCs/>
          <w:kern w:val="2"/>
          <w:sz w:val="24"/>
          <w:szCs w:val="24"/>
          <w:lang w:val="ru-RU" w:eastAsia="en-US"/>
        </w:rPr>
      </w:pPr>
      <w:r>
        <w:rPr>
          <w:rFonts w:cs="Times New Roman" w:ascii="Times New Roman" w:hAnsi="Times New Roman"/>
          <w:b/>
          <w:bCs/>
          <w:iCs/>
          <w:kern w:val="2"/>
          <w:sz w:val="24"/>
          <w:szCs w:val="24"/>
          <w:lang w:val="ru-RU" w:eastAsia="en-US"/>
        </w:rPr>
        <w:t xml:space="preserve">- </w:t>
      </w:r>
      <w:r>
        <w:rPr>
          <w:rFonts w:cs="Times New Roman" w:ascii="Times New Roman" w:hAnsi="Times New Roman"/>
          <w:b/>
          <w:bCs/>
          <w:i w:val="false"/>
          <w:iCs w:val="false"/>
          <w:kern w:val="2"/>
          <w:sz w:val="24"/>
          <w:szCs w:val="24"/>
          <w:lang w:val="ru-RU" w:eastAsia="en-US"/>
        </w:rPr>
        <w:t>Взятие анализов крови на дому (не более 5 раз за период прикрепления). Допускается забор анализов мочи и кала на дому одновременно с забором анализа крови.</w:t>
      </w:r>
    </w:p>
    <w:p>
      <w:pPr>
        <w:pStyle w:val="ListParagraph"/>
        <w:tabs>
          <w:tab w:val="clear" w:pos="708"/>
          <w:tab w:val="left" w:pos="0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contextualSpacing/>
        <w:rPr>
          <w:rFonts w:ascii="Times New Roman" w:hAnsi="Times New Roman" w:eastAsia="Times New Roman" w:cs="Times New Roman"/>
          <w:b/>
          <w:bCs/>
          <w:iCs/>
          <w:vanish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iCs/>
          <w:vanish/>
          <w:sz w:val="24"/>
          <w:szCs w:val="24"/>
          <w:lang w:eastAsia="ar-SA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contextualSpacing/>
        <w:rPr>
          <w:rFonts w:ascii="Times New Roman" w:hAnsi="Times New Roman" w:eastAsia="Times New Roman" w:cs="Times New Roman"/>
          <w:b/>
          <w:bCs/>
          <w:iCs/>
          <w:vanish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iCs/>
          <w:vanish/>
          <w:sz w:val="24"/>
          <w:szCs w:val="24"/>
          <w:lang w:eastAsia="ar-SA"/>
        </w:rPr>
      </w:r>
    </w:p>
    <w:p>
      <w:pPr>
        <w:pStyle w:val="ListParagraph"/>
        <w:numPr>
          <w:ilvl w:val="0"/>
          <w:numId w:val="4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Программой не оплачиваются следующие медицинские услуги:</w:t>
      </w:r>
    </w:p>
    <w:p>
      <w:pPr>
        <w:pStyle w:val="Normal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Дети с установленной 4-й и 5-й группами здоровья на обслуживание по годовой программе медицинского обслуживания не принимаются.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 xml:space="preserve">Медицинские услуги, проводимые без медицинских показаний (по желанию пациента) или вне обострения хронического заболевания, оказываемые в профилактических целях, медицинские услуги, рекомендованные сторонними медицинскими учреждениями;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  <w:lang w:val="x-none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Медицинские услуги, не предусмотренные программой и лечебно-диагностическими возможностями лечебных учреждений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  <w:lang w:val="x-none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У</w:t>
      </w:r>
      <w:r>
        <w:rPr>
          <w:rFonts w:cs="Times New Roman" w:ascii="Times New Roman" w:hAnsi="Times New Roman"/>
          <w:bCs/>
          <w:color w:themeColor="text1" w:val="000000"/>
          <w:sz w:val="24"/>
          <w:szCs w:val="24"/>
          <w:lang w:val="x-none"/>
        </w:rPr>
        <w:t>слуги, оказанные застрахованному после окончания срока действия договора</w:t>
      </w: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;</w:t>
      </w:r>
      <w:r>
        <w:rPr>
          <w:rFonts w:cs="Times New Roman" w:ascii="Times New Roman" w:hAnsi="Times New Roman"/>
          <w:bCs/>
          <w:color w:themeColor="text1" w:val="000000"/>
          <w:sz w:val="24"/>
          <w:szCs w:val="24"/>
          <w:lang w:val="x-none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Следующие заболевания и их последствия не входят в программу обслуживания: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Злокачественные новообразования всех органов и тканей (включая гемобластозы), доброкачественные новообразования.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Врожденные аномалии (пороки развития), деформации и хромосомные нарушения; наследственные заболевания.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Системные, атрофические, демиелинизирующие и дегенеративные заболевания нервной системы; болезнь Паркинсона и вторичный паркинсонизм; эпилепсия; церебральный паралич и другие паралитические синдромы; расстройства психологического развития (аутизм и прочие).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Расстройства сна (включая синдром апное во сне); ронхопатия.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Системные поражения соединительной ткани (включая ревматические болезни), воспалительные полиартропатии (включая ревматоидный артрит); генерализованный остеоартроз, полиостеоартроз; анкилозирующий спондилит (болезнь Бехтерева).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Венерические болезни; повторные обращения в течение периода срока страхования по поводу других заболеваний, передающихся преимущественно половым путем (ЗППП); болезнь, вызванная вирусом иммунодефицита человека (ВИЧ-инфекция) и ВИЧ-ассоциированные заболевания.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Особо опасные инфекционные болезни (натуральная оспа, чума, сибирская язва, холера, вирусные геморрагические лихорадки и другие особо опасные инфекции согласно нормативным документам органов управления здравоохранением).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Иммунодефицитные заболевания и заболевания, проявляющиеся синдромом приобретенного иммунодефицита (СПИД).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Психические расстройства и расстройства поведения (включая связанные с ними причинно-следственной связью соматические заболевания и травмы); расстройства, связанные с употреблением психоактивных веществ (алкоголизм, наркомания, токсикомания, никотиновая зависимость и др.), включая соматические болезни, возникшие вследствие употребления указанных веществ.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671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Глаукома, катаракта, миопия, гиперметропия, астигматизм, заболевания халязиона.</w:t>
      </w:r>
    </w:p>
    <w:p>
      <w:pPr>
        <w:pStyle w:val="Normal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БОЛЕЗНИ МЫШЦ ГЛАЗА, НАРУШЕНИЯ СОДРУЖЕСТВЕННОГО ДВИЖЕНИЯ ГЛАЗ, АККОМОДАЦИИ И РЕФРАКЦИИ (косоглазие и прочие); нистагм.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Нейросенсорная тугоухость и другие потери слуха.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Состояния, связанные с перенесенными заболеваниями: инфаркт, инсульт, аортокоронарное шунтирование, подключение искусственного водителя ритма и их осложнения.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Сахарный диабет и его осложнения.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Поверхностные и глубокие микозы, онихомикоз, экзема, нейродермит, атопический дерматит, псориаз, аллопеция, угревая сыпь, себорея, ксероз, ихтиоз, педикулез, акариаз.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Туберкулез; саркоидоз; амилоидоз.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Хронические гепатиты, цирроз печени.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Заболевания, сопровождающиеся хронической почечной или печеночной недостаточностью, требующей проведения экстракорпоральных (эфферентных) методов лечения.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Последствия воздействия ионизирующих излучений (острая и хроническая лучевая болезнь).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Заболевания, являющиеся причиной установления инвалидности.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Заболевания, лечение которых требует трансплантации, имплантации, протезирования органов и тканей.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 xml:space="preserve">Динамическое наблюдение при фиброзно-кистозной мастопатии (после установления диагноза); исследования и наблюдения при нарушении эндокринных желез (дисфункция яичников, гиперпролактинэмия, гиперандрогенэмия, поликистоз яичников и т.п.).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Недостаточность и избыточность питания (в том числе ожирение); нарушения обмена веществ; подагра, наблюдение при хронической железодефицитной анемии.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Вальгусная и варусная деформация конечностей и суставов; все формы плоскостопия (в том числе с болевым синдромом) без признаков острого артрита и (или) бурсита. деформирующие дорсопатии (кифоз, лордоз, сколиоз, остеохондроз и прочие).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Ожоги более 50% поверхности тела любой степени, ожоги 3Б-4 степени, отморожения 3-4 степени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 и состояния, требующие наблюдения и лечения в условиях профильных ЛПУ;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Все виды инвалидизирующих патологий после направления на КЭК или МСЭ; заболевания, которые послужили или могут являться основанием для установления группы инвалидности, в т.ч. для подготовки посыльного листа во ВТЭК или МСЭ;</w:t>
      </w:r>
    </w:p>
    <w:p>
      <w:pPr>
        <w:pStyle w:val="Normal"/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start="360"/>
        <w:jc w:val="both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ar-SA"/>
        </w:rPr>
        <w:t>Следующие медицинские услуги и расходные материалы:</w:t>
      </w:r>
    </w:p>
    <w:p>
      <w:pPr>
        <w:pStyle w:val="Normal"/>
        <w:suppressAutoHyphens w:val="true"/>
        <w:spacing w:lineRule="auto" w:line="240" w:before="0" w:after="0"/>
        <w:ind w:start="1380"/>
        <w:jc w:val="both"/>
        <w:rPr>
          <w:rFonts w:ascii="Times New Roman" w:hAnsi="Times New Roman" w:eastAsia="Times New Roman" w:cs="Times New Roman"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ar-SA"/>
        </w:rPr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оказанные без медицинских показаний, без назначения врача, по желанию Законного представителя или представителя, не предусмотренные программой.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оказанные в оздоровительных, профилактических целях (кроме услуг, указанных в разделах 1,2,3); динамическое наблюдение (в том числе в стоматологии).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оказанные с косметической, эстетической целью, в целях улучшения психологического состояния Застрахованного (включая услуги при заболеваниях мягких тканей, кожи и её придатков: мозоли, бородавки, папилломы, контагиозный моллюск, невусы, липомы, вросший ноготь, выпадение волос и т.д.); склеротерапия варикозной болезни вен; коррекция веса; коррекция речи.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Психотерапевтические услуги; услуги психолога, приемы психиатра, сердечно-сосудистого хирурга, ревматолога, пульмонолога, нефролога, логопеда.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Методы диагностики и лечения, относящиеся к традиционной, альтернативной и народной медицине (в том числе гомеопатия, гирудотерапия, фитотерапия, цуботерапия, галотерапия, спелеотерапия); авторские и экспериментальные методы диагностики и лечения, не прошедшие сертификацию и не одобренные Министерством здравоохранения к применению.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Молекулярно-генетические исследования; МРТ, КТ, позитронно-эмисионная томография (ПЭТ).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Экстракорпоральные методы лечения: гемодиализ, плазмоферез, гемосорбция, гемофильтрация, ультрафиолетовое и лазерное облучение крови, озонирование и др.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Нормо-, гипер- и гипобарическая оксигенация; все методы озонотерапии; занятия ЛФК; физиотерапевтические реабилитационно-оздоровительные капсулы (включая Альфа-капсулу); водо-, тепло- и грязелечение; механотерапия; аппаратный массаж; гидроколонотерапия; тренажеры; солярий; бассейн; сауна; мануальная терапия; рефлексотерапия, ударно-волновая терапия.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Удаление серных пробок, туалет слухового прохода, пневмомассаж барабанной перепонки.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Специфическая иммунотерапия (СИТ), скарификационные пробы</w:t>
      </w:r>
      <w:r>
        <w:rPr>
          <w:rFonts w:eastAsia="Times New Roman" w:cs="Times New Roman" w:ascii="Times New Roman" w:hAnsi="Times New Roman"/>
          <w:strike/>
          <w:sz w:val="24"/>
          <w:szCs w:val="24"/>
          <w:lang w:eastAsia="ar-SA"/>
        </w:rPr>
        <w:t xml:space="preserve">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Профилактические мероприятия согласно приказу МЗ РФ 514 н от 10.08.2017г.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Плановые хирургические операции (включая лазерные) по поводу нарушений рефракции и аккомодации (близорукость, дальнозоркость, астигматизм и др.), глаукомы, катаракты, отслойки сетчатки, косоглазия; физиотерапевтические методы коррекции зрения (фото- магнитостимуляция и др.); тренировка аккомодационного аппарата глаза аппаратными методами; аппаратные методы лечения и профилактики миопии. Диагностические исследования, консультации и тесты, связанные с подбором очков, линз, коррекцией зрения.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Стационарозамещающие формы оказания медицинской помощи (дневной стационар, стационар одного дня, стационар на дому); реабилитационно-восстановительное лечение.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Выезд на дом врачей - специалистов, проведение врачебных диагностических и лечебных манипуляций на дом; выезд на дом процедурной медсестры с проведением манипуляций и процедур, выезд на дом массажиста с проведением услуг.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Лечебные и диагностические пункции (в т.ч. внутрисуставные), лечебные блокады, удаление полипа, радиоэндоскопическое лечение, плановые малые хирургические операции.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Диспансерное наблюдение;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trike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Курсовые врачебные манипуляции и процедуры в офтальмологии, отоларингологии, урологии, гинекологии, физиотерапия в офтальмологии,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в том числе аппаратные методы.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Иммунологические исследования; аллерготесты и генетические исследования; исследования на онкомаркеры, гормональные и другие исследования (кроме указанных в п.1.2. Программы), анализ кала на дисбактериоз; </w:t>
      </w:r>
      <w:r>
        <w:rPr>
          <w:rFonts w:cs="Times New Roman" w:ascii="Times New Roman" w:hAnsi="Times New Roman"/>
          <w:sz w:val="24"/>
          <w:szCs w:val="24"/>
        </w:rPr>
        <w:t>анализ кала на углеводы, экспресс-тесты;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Иммунопрофилактика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связанные с выдачей/продлением личных медицинских книжек, справок без медицинских показаний (на управление транспортным средством, для посещения спортивно-оздоровительных учреждений в т.ч. бассейна, более 1 раза, для выезда за рубеж, для поступления в дошкольные и образовательные заведения более 1 раза, для ношения и хранения оружия, для выдачи кредита и др.); услуги, связанные с прохождением медико-социальной экспертизы; услуги, связанные с оформлением санаторно-курортных карт.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Дорогостоящие расходные материалы, требующиеся при оказании медицинских услуг (протезы, эндопротезы, имплантаты, стенты, кардиостимуляторы, проводники, металлоконструкции, контрастные вещества и др.); медицинское оборудование, очки, контактные линзы, слуховые аппараты и другие медицинские изделия; изделия, предназначенные для ухода за больными, включая средства личной гигиены.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Лекарственные средства при амбулаторно-поликлиническом лечении.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Проведение догоспитального обследования, организация диагностических и лечебных мероприятий, с привлечением оборудования и специалистов, отсутствующих в сети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связанные с выдачей/продлением справок без медицинских показаний, кроме указанных в п 1.7. программы медицинского обслуживания; услуги, связанные с прохождением медико-социальной экспертизы; услуги, связанные с оформлением санаторно-курортных карт.</w:t>
      </w:r>
      <w:bookmarkStart w:id="20" w:name="_Hlk49354163"/>
      <w:bookmarkEnd w:id="20"/>
    </w:p>
    <w:p>
      <w:pPr>
        <w:pStyle w:val="Normal"/>
        <w:numPr>
          <w:ilvl w:val="1"/>
          <w:numId w:val="4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bookmarkStart w:id="21" w:name="_Hlk49268145"/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Все виды стоматологических услуг, кроме указанных в программе.</w:t>
      </w:r>
      <w:bookmarkEnd w:id="21"/>
    </w:p>
    <w:p>
      <w:pPr>
        <w:pStyle w:val="Normal"/>
        <w:suppressAutoHyphens w:val="true"/>
        <w:spacing w:lineRule="auto" w:line="240" w:before="0" w:after="0"/>
        <w:jc w:val="both"/>
        <w:rPr/>
      </w:pPr>
      <w:r>
        <w:rPr/>
      </w:r>
      <w:bookmarkStart w:id="22" w:name="_Hlk49531595"/>
      <w:bookmarkStart w:id="23" w:name="_Hlk49531595"/>
      <w:bookmarkEnd w:id="23"/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libri Light"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Times New Roman CYR"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2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ascii="Times New Roman" w:hAnsi="Times New Roman"/>
        <w:b w:val="false"/>
        <w:bCs/>
        <w:sz w:val="24"/>
      </w:rPr>
    </w:lvl>
    <w:lvl w:ilvl="1">
      <w:start w:val="9"/>
      <w:numFmt w:val="bullet"/>
      <w:lvlText w:val="-"/>
      <w:lvlJc w:val="start"/>
      <w:pPr>
        <w:tabs>
          <w:tab w:val="num" w:pos="0"/>
        </w:tabs>
        <w:ind w:star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1664" w:hanging="138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1380" w:hanging="1380"/>
      </w:pPr>
      <w:rPr>
        <w:rFonts w:ascii="Times New Roman" w:hAnsi="Times New Roman"/>
        <w:b/>
        <w:bCs/>
        <w:i w:val="false"/>
        <w:iCs/>
        <w:strike w:val="false"/>
        <w:dstrike w:val="false"/>
        <w:sz w:val="24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3104" w:hanging="138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824" w:hanging="138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4544" w:hanging="13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5264" w:hanging="13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604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6764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844" w:hanging="1800"/>
      </w:pPr>
      <w:rPr/>
    </w:lvl>
  </w:abstractNum>
  <w:abstractNum w:abstractNumId="5">
    <w:lvl w:ilvl="0">
      <w:start w:val="1"/>
      <w:numFmt w:val="bullet"/>
      <w:lvlText w:val="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2"/>
      <w:numFmt w:val="decimal"/>
      <w:lvlText w:val="%1."/>
      <w:lvlJc w:val="start"/>
      <w:pPr>
        <w:tabs>
          <w:tab w:val="num" w:pos="0"/>
        </w:tabs>
        <w:ind w:start="360" w:hanging="360"/>
      </w:pPr>
      <w:rPr>
        <w:b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360" w:hanging="360"/>
      </w:pPr>
      <w:rPr>
        <w:rFonts w:ascii="Times New Roman" w:hAnsi="Times New Roman"/>
        <w:b/>
        <w:strike w:val="false"/>
        <w:dstrike w:val="false"/>
        <w:sz w:val="24"/>
        <w:u w:val="none"/>
        <w:effect w:val="non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20" w:hanging="720"/>
      </w:pPr>
      <w:rPr>
        <w:b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720" w:hanging="720"/>
      </w:pPr>
      <w:rPr>
        <w:b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080" w:hanging="1080"/>
      </w:pPr>
      <w:rPr>
        <w:b/>
      </w:r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080" w:hanging="1080"/>
      </w:pPr>
      <w:rPr>
        <w:b/>
      </w:r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1440" w:hanging="1440"/>
      </w:pPr>
      <w:rPr>
        <w:b/>
      </w:r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1440" w:hanging="1440"/>
      </w:pPr>
      <w:rPr>
        <w:b/>
      </w:r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1800" w:hanging="1800"/>
      </w:pPr>
      <w:rPr>
        <w:b/>
      </w:r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a14d7f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4">
    <w:name w:val="heading 4"/>
    <w:basedOn w:val="Title"/>
    <w:next w:val="BodyText"/>
    <w:qFormat/>
    <w:pPr>
      <w:numPr>
        <w:ilvl w:val="3"/>
        <w:numId w:val="1"/>
      </w:num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basedOn w:val="DefaultParagraphFont"/>
    <w:uiPriority w:val="20"/>
    <w:qFormat/>
    <w:rsid w:val="006f2708"/>
    <w:rPr>
      <w:i/>
      <w:iCs/>
    </w:rPr>
  </w:style>
  <w:style w:type="character" w:styleId="Strong">
    <w:name w:val="Strong"/>
    <w:basedOn w:val="DefaultParagraphFont"/>
    <w:uiPriority w:val="22"/>
    <w:qFormat/>
    <w:rsid w:val="006f2708"/>
    <w:rPr>
      <w:b/>
      <w:bCs/>
    </w:rPr>
  </w:style>
  <w:style w:type="character" w:styleId="Hyperlink" w:customStyle="1">
    <w:name w:val="Hyperlink"/>
    <w:uiPriority w:val="99"/>
    <w:semiHidden/>
    <w:unhideWhenUsed/>
    <w:qFormat/>
    <w:rsid w:val="00d2743e"/>
    <w:rPr>
      <w:color w:val="000080"/>
      <w:u w:val="single"/>
    </w:rPr>
  </w:style>
  <w:style w:type="character" w:styleId="Style12" w:customStyle="1">
    <w:name w:val="Выделение жирным"/>
    <w:qFormat/>
    <w:rPr>
      <w:b/>
      <w:bCs/>
    </w:rPr>
  </w:style>
  <w:style w:type="character" w:styleId="ins" w:customStyle="1">
    <w:name w:val="ins"/>
    <w:qFormat/>
    <w:rPr/>
  </w:style>
  <w:style w:type="character" w:styleId="Style13" w:customStyle="1">
    <w:name w:val="Маркеры списка"/>
    <w:qFormat/>
    <w:rPr>
      <w:rFonts w:ascii="OpenSymbol" w:hAnsi="OpenSymbol" w:eastAsia="OpenSymbol" w:cs="OpenSymbol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c83818"/>
    <w:rPr>
      <w:rFonts w:ascii="Segoe UI" w:hAnsi="Segoe UI" w:cs="Segoe UI"/>
      <w:sz w:val="18"/>
      <w:szCs w:val="18"/>
    </w:rPr>
  </w:style>
  <w:style w:type="character" w:styleId="Style16" w:customStyle="1">
    <w:name w:val="Тема примечания Знак"/>
    <w:basedOn w:val="Style14"/>
    <w:uiPriority w:val="99"/>
    <w:semiHidden/>
    <w:qFormat/>
    <w:rsid w:val="0082160d"/>
    <w:rPr>
      <w:b/>
      <w:bCs/>
      <w:szCs w:val="20"/>
    </w:rPr>
  </w:style>
  <w:style w:type="character" w:styleId="1" w:customStyle="1">
    <w:name w:val="Заголовок 1 Знак"/>
    <w:basedOn w:val="DefaultParagraphFont"/>
    <w:uiPriority w:val="9"/>
    <w:qFormat/>
    <w:rsid w:val="00a14d7f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09711c"/>
    <w:pPr>
      <w:spacing w:before="0" w:after="160"/>
      <w:ind w:star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6f270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9" w:customStyle="1">
    <w:name w:val="!Ïîäïèñü"/>
    <w:basedOn w:val="Normal"/>
    <w:qFormat/>
    <w:rsid w:val="00880b73"/>
    <w:pPr>
      <w:spacing w:lineRule="auto" w:line="240" w:before="0" w:after="0"/>
    </w:pPr>
    <w:rPr>
      <w:rFonts w:ascii="Times New Roman" w:hAnsi="Times New Roman" w:eastAsia="Times New Roman" w:cs="Times New Roman"/>
      <w:b/>
      <w:sz w:val="24"/>
      <w:szCs w:val="20"/>
      <w:lang w:val="en-US" w:eastAsia="ru-RU"/>
    </w:rPr>
  </w:style>
  <w:style w:type="paragraph" w:styleId="Style20" w:customStyle="1">
    <w:name w:val="Нормальный (таблица)"/>
    <w:basedOn w:val="Normal"/>
    <w:next w:val="Normal"/>
    <w:uiPriority w:val="99"/>
    <w:qFormat/>
    <w:rsid w:val="00880b73"/>
    <w:pPr>
      <w:widowControl w:val="false"/>
      <w:spacing w:lineRule="auto" w:line="240" w:before="0" w:after="0"/>
      <w:jc w:val="both"/>
    </w:pPr>
    <w:rPr>
      <w:rFonts w:ascii="Times New Roman CYR" w:hAnsi="Times New Roman CYR" w:eastAsia="" w:cs="Times New Roman CYR" w:eastAsiaTheme="minorEastAsia"/>
      <w:sz w:val="24"/>
      <w:szCs w:val="24"/>
      <w:lang w:eastAsia="ru-RU"/>
    </w:rPr>
  </w:style>
  <w:style w:type="paragraph" w:styleId="user2" w:customStyle="1">
    <w:name w:val="Текст в заданном формате (user)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CommentText">
    <w:name w:val="annotation text"/>
    <w:basedOn w:val="Normal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c8381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CommentText"/>
    <w:next w:val="CommentText"/>
    <w:uiPriority w:val="99"/>
    <w:semiHidden/>
    <w:unhideWhenUsed/>
    <w:qFormat/>
    <w:rsid w:val="0082160d"/>
    <w:pPr/>
    <w:rPr>
      <w:b/>
      <w:bCs/>
    </w:rPr>
  </w:style>
  <w:style w:type="paragraph" w:styleId="21" w:customStyle="1">
    <w:name w:val="Основной текст 21"/>
    <w:basedOn w:val="Normal"/>
    <w:qFormat/>
    <w:rsid w:val="004c6284"/>
    <w:pPr>
      <w:suppressAutoHyphens w:val="true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00000A"/>
      <w:sz w:val="24"/>
      <w:szCs w:val="20"/>
      <w:lang w:eastAsia="ru-RU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3"/>
    <w:uiPriority w:val="39"/>
    <w:rsid w:val="006f270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"/>
    <w:basedOn w:val="a3"/>
    <w:uiPriority w:val="39"/>
    <w:rsid w:val="0014633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k.zub.ru/" TargetMode="External"/><Relationship Id="rId3" Type="http://schemas.openxmlformats.org/officeDocument/2006/relationships/hyperlink" Target="https://polyclinika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Application>LibreOffice/25.8.7.2$Windows_X86_64 LibreOffice_project/e9cfafff50477fae0fcf42925ebd2aec2bdc5df4</Application>
  <AppVersion>15.0000</AppVersion>
  <Pages>8</Pages>
  <Words>2360</Words>
  <Characters>17589</Characters>
  <CharactersWithSpaces>19770</CharactersWithSpaces>
  <Paragraphs>166</Paragraphs>
  <Company>GLB-SRV-SCCM-01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2020-08-28T15:14:00Z</dcterms:created>
  <dc:creator>Подгорная Ольга Николаевна</dc:creator>
  <dc:description/>
  <dc:language>ru-RU</dc:language>
  <cp:lastModifiedBy/>
  <dcterms:modified xsi:type="dcterms:W3CDTF">2026-07-03T12:55:19Z</dcterms:modified>
  <cp:revision>146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