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uppressAutoHyphens w:val="true"/>
        <w:bidi w:val="0"/>
        <w:spacing w:lineRule="auto" w:line="240" w:before="0" w:after="0"/>
        <w:ind w:firstLine="4706" w:start="340" w:end="0"/>
        <w:jc w:val="star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Приложение № 1 к Договору № 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firstLine="4706" w:start="340" w:end="0"/>
        <w:jc w:val="star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От ________________________2026 г.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firstLine="4706" w:start="340" w:end="0"/>
        <w:jc w:val="star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suppressAutoHyphens w:val="true"/>
        <w:spacing w:lineRule="auto" w:line="240" w:before="0" w:after="0"/>
        <w:ind w:hanging="360" w:start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suppressAutoHyphens w:val="true"/>
        <w:spacing w:lineRule="auto" w:line="240" w:before="0" w:after="0"/>
        <w:ind w:hanging="0" w:start="1080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  <w:t xml:space="preserve">ПРОГРАММА МЕДИЦИНСКОГО ОБСЛУЖИВАНИЯ </w:t>
      </w:r>
    </w:p>
    <w:p>
      <w:pPr>
        <w:pStyle w:val="Normal"/>
        <w:widowControl w:val="false"/>
        <w:suppressAutoHyphens w:val="true"/>
        <w:spacing w:lineRule="auto" w:line="240" w:before="0" w:after="0"/>
        <w:ind w:hanging="0" w:start="1080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«ДОЧКИ-СЫНОЧКИ» СТАНДАРТ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  <w:t xml:space="preserve"> (дети от 3 лет до 7 лет)</w:t>
      </w:r>
    </w:p>
    <w:p>
      <w:pPr>
        <w:pStyle w:val="Normal"/>
        <w:widowControl w:val="false"/>
        <w:suppressAutoHyphens w:val="true"/>
        <w:spacing w:lineRule="auto" w:line="240" w:before="0" w:after="0"/>
        <w:ind w:hanging="0" w:start="1080"/>
        <w:jc w:val="center"/>
        <w:rPr/>
      </w:pPr>
      <w:r>
        <w:rPr>
          <w:rFonts w:cs="Times New Roman" w:ascii="Times New Roman" w:hAnsi="Times New Roman"/>
          <w:b/>
          <w:bCs/>
          <w:sz w:val="24"/>
          <w:szCs w:val="24"/>
        </w:rPr>
        <w:t>Стоимость программы 76 000 рублей</w:t>
      </w:r>
    </w:p>
    <w:p>
      <w:pPr>
        <w:pStyle w:val="Normal"/>
        <w:widowControl w:val="false"/>
        <w:suppressAutoHyphens w:val="true"/>
        <w:spacing w:lineRule="auto" w:line="240" w:before="0" w:after="0"/>
        <w:ind w:hanging="0" w:start="360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widowControl w:val="false"/>
        <w:suppressAutoHyphens w:val="true"/>
        <w:spacing w:lineRule="auto" w:line="240" w:before="0" w:after="0"/>
        <w:ind w:hanging="0" w:start="360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numPr>
          <w:ilvl w:val="0"/>
          <w:numId w:val="5"/>
        </w:numPr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ar-SA"/>
        </w:rPr>
        <w:t xml:space="preserve">В случае обслуживания застрахованных клиентов Заказчика, проживающих </w:t>
      </w:r>
    </w:p>
    <w:p>
      <w:pPr>
        <w:pStyle w:val="Normal"/>
        <w:suppressAutoHyphens w:val="true"/>
        <w:spacing w:lineRule="auto" w:line="240" w:before="0" w:after="0"/>
        <w:ind w:hanging="0" w:start="360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ar-SA"/>
        </w:rPr>
        <w:t>за пределами МКАД и в Московской области, вводятся повышающие коэффициенты на программу медицинского обслуживания:</w:t>
      </w:r>
    </w:p>
    <w:p>
      <w:pPr>
        <w:pStyle w:val="Normal"/>
        <w:suppressAutoHyphens w:val="true"/>
        <w:spacing w:lineRule="auto" w:line="240" w:before="0" w:after="0"/>
        <w:ind w:hanging="0" w:start="360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ar-SA"/>
        </w:rPr>
      </w:r>
    </w:p>
    <w:tbl>
      <w:tblPr>
        <w:tblW w:w="10332" w:type="dxa"/>
        <w:jc w:val="start"/>
        <w:tblInd w:w="-572" w:type="dxa"/>
        <w:tblLayout w:type="fixed"/>
        <w:tblCellMar>
          <w:top w:w="0" w:type="dxa"/>
          <w:start w:w="103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7671"/>
        <w:gridCol w:w="2661"/>
      </w:tblGrid>
      <w:tr>
        <w:trPr/>
        <w:tc>
          <w:tcPr>
            <w:tcW w:w="76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ar-SA"/>
              </w:rPr>
              <w:t>Вызов на дом за МКАД, в пределах 15 км от МКАД</w:t>
            </w:r>
          </w:p>
        </w:tc>
        <w:tc>
          <w:tcPr>
            <w:tcW w:w="26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en-US" w:eastAsia="ar-SA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en-US" w:eastAsia="ar-SA"/>
              </w:rPr>
              <w:t>1,2</w:t>
            </w:r>
          </w:p>
        </w:tc>
      </w:tr>
      <w:tr>
        <w:trPr/>
        <w:tc>
          <w:tcPr>
            <w:tcW w:w="76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ar-SA"/>
              </w:rPr>
              <w:t>Вызов на дом за МКАД, в пределах 30 км от МКАД</w:t>
            </w:r>
          </w:p>
        </w:tc>
        <w:tc>
          <w:tcPr>
            <w:tcW w:w="26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en-US" w:eastAsia="ar-SA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en-US" w:eastAsia="ar-SA"/>
              </w:rPr>
              <w:t>1,4</w:t>
            </w:r>
          </w:p>
        </w:tc>
      </w:tr>
    </w:tbl>
    <w:p>
      <w:pPr>
        <w:pStyle w:val="Normal"/>
        <w:suppressAutoHyphens w:val="true"/>
        <w:spacing w:lineRule="auto" w:line="240" w:before="0" w:after="0"/>
        <w:ind w:hanging="0" w:start="360"/>
        <w:rPr>
          <w:rFonts w:ascii="Times New Roman" w:hAnsi="Times New Roman" w:eastAsia="Times New Roman" w:cs="Times New Roman"/>
          <w:sz w:val="24"/>
          <w:szCs w:val="24"/>
          <w:lang w:val="en-US" w:eastAsia="ar-SA"/>
        </w:rPr>
      </w:pPr>
      <w:r>
        <w:rPr>
          <w:rFonts w:eastAsia="Times New Roman" w:cs="Times New Roman" w:ascii="Times New Roman" w:hAnsi="Times New Roman"/>
          <w:sz w:val="24"/>
          <w:szCs w:val="24"/>
          <w:lang w:val="en-US" w:eastAsia="ar-SA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val="en-US" w:eastAsia="ar-SA"/>
        </w:rPr>
      </w:pPr>
      <w:r>
        <w:rPr>
          <w:rFonts w:eastAsia="Times New Roman" w:cs="Times New Roman" w:ascii="Times New Roman" w:hAnsi="Times New Roman"/>
          <w:sz w:val="24"/>
          <w:szCs w:val="24"/>
          <w:lang w:val="en-US" w:eastAsia="ar-SA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Объем услуг, оказываемых по медицинским показаниям детям в возрасте от 3 лет до 7 лет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>
        <w:rPr>
          <w:rFonts w:cs="Times New Roman" w:ascii="Times New Roman" w:hAnsi="Times New Roman"/>
          <w:sz w:val="24"/>
          <w:szCs w:val="24"/>
          <w:lang w:eastAsia="zh-CN" w:bidi="hi-IN"/>
        </w:rPr>
        <w:t>Обслуживание пациентов проводится при острых заболеваниях или при обострении хронических заболеваний в объеме медицинской помощи, предусмотренной данной программой, в соответствии с Лицензией на осуществление медицинской деятельности.</w:t>
      </w:r>
    </w:p>
    <w:p>
      <w:pPr>
        <w:pStyle w:val="Normal"/>
        <w:widowControl w:val="false"/>
        <w:suppressAutoHyphens w:val="true"/>
        <w:spacing w:lineRule="auto" w:line="240" w:before="0" w:after="0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Style21"/>
        <w:widowControl w:val="false"/>
        <w:numPr>
          <w:ilvl w:val="0"/>
          <w:numId w:val="4"/>
        </w:numPr>
        <w:overflowPunct w:val="true"/>
        <w:ind w:hanging="142" w:start="142"/>
        <w:rPr>
          <w:szCs w:val="24"/>
          <w:lang w:val="ru-RU"/>
        </w:rPr>
      </w:pPr>
      <w:r>
        <w:rPr>
          <w:szCs w:val="24"/>
          <w:lang w:val="ru-RU"/>
        </w:rPr>
        <w:t>АМБУЛАТОРНО-ПОЛИКЛИНИЧЕСКАЯ ПОМОЩЬ В ПОЛИКЛИНИКЕ ОКАЗЫВАЕТСЯ ТОЛЬКО ПО НАЗНАЧЕНИЮ ВРАЧА:</w:t>
      </w:r>
    </w:p>
    <w:p>
      <w:pPr>
        <w:pStyle w:val="Normal"/>
        <w:numPr>
          <w:ilvl w:val="1"/>
          <w:numId w:val="4"/>
        </w:numPr>
        <w:suppressAutoHyphens w:val="true"/>
        <w:spacing w:lineRule="auto" w:line="240" w:before="0" w:after="0"/>
        <w:ind w:hanging="0" w:start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Приемы, осмотры, консультации врача педиатра </w:t>
      </w:r>
      <w:bookmarkStart w:id="0" w:name="_Hlk41416103"/>
      <w:bookmarkEnd w:id="0"/>
      <w:r>
        <w:rPr>
          <w:rFonts w:cs="Times New Roman" w:ascii="Times New Roman" w:hAnsi="Times New Roman"/>
          <w:b/>
          <w:bCs/>
          <w:sz w:val="24"/>
          <w:szCs w:val="24"/>
        </w:rPr>
        <w:t>в клинике 10 приемов;</w:t>
      </w:r>
    </w:p>
    <w:p>
      <w:pPr>
        <w:pStyle w:val="Normal"/>
        <w:numPr>
          <w:ilvl w:val="1"/>
          <w:numId w:val="4"/>
        </w:numPr>
        <w:ind w:hanging="0" w:star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>Консультация педиатра онлайн — без ограничений;</w:t>
      </w:r>
    </w:p>
    <w:p>
      <w:pPr>
        <w:pStyle w:val="Normal"/>
        <w:numPr>
          <w:ilvl w:val="1"/>
          <w:numId w:val="4"/>
        </w:numPr>
        <w:suppressAutoHyphens w:val="true"/>
        <w:spacing w:lineRule="auto" w:line="240" w:before="0" w:after="0"/>
        <w:ind w:hanging="0" w:start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Приемы, осмотры, консультации врачами специалистами по назначению врача- </w:t>
      </w:r>
      <w:r>
        <w:rPr>
          <w:rFonts w:cs="Times New Roman" w:ascii="Times New Roman" w:hAnsi="Times New Roman"/>
          <w:b/>
          <w:bCs/>
          <w:kern w:val="2"/>
          <w:sz w:val="24"/>
          <w:szCs w:val="24"/>
        </w:rPr>
        <w:t>педиатра не более 8 приемов всего:</w:t>
      </w:r>
      <w:r>
        <w:rPr>
          <w:rFonts w:cs="Times New Roman" w:ascii="Times New Roman" w:hAnsi="Times New Roman"/>
          <w:kern w:val="2"/>
          <w:sz w:val="24"/>
          <w:szCs w:val="24"/>
        </w:rPr>
        <w:t xml:space="preserve"> аллерголога-иммунолога, гастроэнтеролога, гинеколога, дерматолога, кардиолога, невролога, отоларинголога, офтальмолога, травматолога-ортопеда, уролога, физиотерапевта, хирурга, эндокринолога;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</w:p>
    <w:p>
      <w:pPr>
        <w:pStyle w:val="Normal"/>
        <w:numPr>
          <w:ilvl w:val="0"/>
          <w:numId w:val="0"/>
        </w:numPr>
        <w:suppressAutoHyphens w:val="true"/>
        <w:spacing w:lineRule="auto" w:line="240" w:before="0" w:after="0"/>
        <w:ind w:hanging="0" w:start="0"/>
        <w:jc w:val="both"/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cs="Times New Roman" w:ascii="Times New Roman" w:hAnsi="Times New Roman"/>
          <w:kern w:val="2"/>
          <w:sz w:val="24"/>
          <w:szCs w:val="24"/>
        </w:rPr>
        <w:t>прием детского психолога/психиатра - 1 консультация за период прикрепления; профилактический осмотр стоматолога – однократно за период прикрепления.</w:t>
      </w:r>
    </w:p>
    <w:p>
      <w:pPr>
        <w:pStyle w:val="Normal"/>
        <w:numPr>
          <w:ilvl w:val="0"/>
          <w:numId w:val="0"/>
        </w:numPr>
        <w:suppressAutoHyphens w:val="true"/>
        <w:spacing w:lineRule="auto" w:line="240" w:before="0" w:after="0"/>
        <w:ind w:hanging="0" w:start="0"/>
        <w:jc w:val="both"/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cs="Times New Roman" w:ascii="Times New Roman" w:hAnsi="Times New Roman"/>
          <w:kern w:val="2"/>
          <w:sz w:val="24"/>
          <w:szCs w:val="24"/>
        </w:rPr>
      </w:r>
      <w:bookmarkStart w:id="1" w:name="_Hlk40798266"/>
      <w:bookmarkStart w:id="2" w:name="_Hlk40798266"/>
      <w:bookmarkEnd w:id="2"/>
    </w:p>
    <w:p>
      <w:pPr>
        <w:pStyle w:val="Normal"/>
        <w:numPr>
          <w:ilvl w:val="1"/>
          <w:numId w:val="4"/>
        </w:numPr>
        <w:suppressAutoHyphens w:val="true"/>
        <w:spacing w:lineRule="auto" w:line="240" w:before="0" w:after="0"/>
        <w:ind w:hanging="0" w:star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Лабораторная диагностика по назначению </w:t>
      </w:r>
      <w:bookmarkStart w:id="3" w:name="_Hlk49345398"/>
      <w:r>
        <w:rPr>
          <w:rFonts w:cs="Times New Roman" w:ascii="Times New Roman" w:hAnsi="Times New Roman"/>
          <w:b/>
          <w:bCs/>
          <w:sz w:val="24"/>
          <w:szCs w:val="24"/>
        </w:rPr>
        <w:t>врача</w:t>
      </w:r>
      <w:bookmarkEnd w:id="3"/>
      <w:r>
        <w:rPr>
          <w:rFonts w:cs="Times New Roman" w:ascii="Times New Roman" w:hAnsi="Times New Roman"/>
          <w:b/>
          <w:bCs/>
          <w:sz w:val="24"/>
          <w:szCs w:val="24"/>
        </w:rPr>
        <w:t xml:space="preserve">: </w:t>
      </w:r>
    </w:p>
    <w:p>
      <w:pPr>
        <w:pStyle w:val="Normal"/>
        <w:numPr>
          <w:ilvl w:val="0"/>
          <w:numId w:val="0"/>
        </w:numPr>
        <w:ind w:hanging="0" w:start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ru-RU"/>
        </w:rPr>
        <w:t>-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lang w:val="ru-RU"/>
        </w:rPr>
        <w:t>общеклинические (общий анализ крови 3 раза+общий анализ мочи 3 раза);</w:t>
      </w:r>
    </w:p>
    <w:p>
      <w:pPr>
        <w:pStyle w:val="Normal"/>
        <w:numPr>
          <w:ilvl w:val="0"/>
          <w:numId w:val="0"/>
        </w:numPr>
        <w:ind w:hanging="0" w:start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  <w:lang w:val="ru-RU"/>
        </w:rPr>
        <w:t>-биохимические (10 показателей);</w:t>
      </w:r>
    </w:p>
    <w:p>
      <w:pPr>
        <w:pStyle w:val="Normal"/>
        <w:numPr>
          <w:ilvl w:val="0"/>
          <w:numId w:val="0"/>
        </w:numPr>
        <w:ind w:hanging="0" w:start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  <w:lang w:val="ru-RU"/>
        </w:rPr>
        <w:t>-</w:t>
      </w:r>
      <w:bookmarkStart w:id="4" w:name="_Hlk40799007"/>
      <w:r>
        <w:rPr>
          <w:rFonts w:cs="Times New Roman" w:ascii="Times New Roman" w:hAnsi="Times New Roman"/>
          <w:b w:val="false"/>
          <w:bCs w:val="false"/>
          <w:sz w:val="24"/>
          <w:szCs w:val="24"/>
          <w:lang w:val="ru-RU"/>
        </w:rPr>
        <w:t>бактериологические (</w:t>
      </w:r>
      <w:r>
        <w:rPr>
          <w:rFonts w:ascii="Times New Roman" w:hAnsi="Times New Roman"/>
          <w:b w:val="false"/>
          <w:bCs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>Микробиологическое (культуральное) исследование мазка из зева на палочку дифтерии; Культуральные исследования на стрептококк группы A; Исследование ректального мазка (фекалий) на колипатогенную группу; Посев на флору и чувствительность к антибиотикам</w:t>
      </w:r>
      <w:r>
        <w:rPr>
          <w:rFonts w:ascii="Times New Roman" w:hAnsi="Times New Roman"/>
          <w:b w:val="false"/>
          <w:bCs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  <w:lang w:val="ru-RU"/>
        </w:rPr>
        <w:t>)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lang w:val="ru-RU"/>
        </w:rPr>
        <w:t xml:space="preserve"> </w:t>
      </w:r>
      <w:bookmarkEnd w:id="4"/>
      <w:r>
        <w:rPr>
          <w:rFonts w:eastAsia="Calibri" w:cs="Times New Roman" w:ascii="Times New Roman" w:hAnsi="Times New Roman" w:eastAsiaTheme="minorHAnsi"/>
          <w:b w:val="false"/>
          <w:bCs w:val="false"/>
          <w:sz w:val="24"/>
          <w:szCs w:val="24"/>
          <w:lang w:val="ru-RU" w:eastAsia="zh-CN" w:bidi="hi-IN"/>
        </w:rPr>
        <w:t>(всего 3 показателя)</w:t>
      </w:r>
      <w:bookmarkStart w:id="5" w:name="_Hlk33517575"/>
      <w:bookmarkEnd w:id="5"/>
      <w:r>
        <w:rPr>
          <w:rFonts w:eastAsia="Calibri" w:cs="Times New Roman" w:ascii="Times New Roman" w:hAnsi="Times New Roman" w:eastAsiaTheme="minorHAnsi"/>
          <w:b w:val="false"/>
          <w:bCs w:val="false"/>
          <w:sz w:val="24"/>
          <w:szCs w:val="24"/>
          <w:lang w:val="ru-RU" w:eastAsia="zh-CN" w:bidi="hi-IN"/>
        </w:rPr>
        <w:t>;</w:t>
      </w:r>
    </w:p>
    <w:p>
      <w:pPr>
        <w:pStyle w:val="Normal"/>
        <w:numPr>
          <w:ilvl w:val="0"/>
          <w:numId w:val="0"/>
        </w:numPr>
        <w:ind w:hanging="0" w:start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  <w:lang w:val="ru-RU"/>
        </w:rPr>
        <w:t>-гистологические (по 5 показателей каждого наименования);</w:t>
      </w:r>
    </w:p>
    <w:p>
      <w:pPr>
        <w:pStyle w:val="Normal"/>
        <w:numPr>
          <w:ilvl w:val="0"/>
          <w:numId w:val="0"/>
        </w:numPr>
        <w:suppressAutoHyphens w:val="true"/>
        <w:spacing w:lineRule="auto" w:line="240" w:before="0" w:after="0"/>
        <w:ind w:hanging="0" w:start="0"/>
        <w:jc w:val="both"/>
        <w:rPr>
          <w:rFonts w:ascii="Times New Roman" w:hAnsi="Times New Roman"/>
          <w:b w:val="false"/>
          <w:bCs w:val="false"/>
          <w:sz w:val="24"/>
          <w:szCs w:val="24"/>
          <w:lang w:val="ru-RU"/>
        </w:rPr>
      </w:pPr>
      <w:r>
        <w:rPr>
          <w:rFonts w:ascii="Times New Roman" w:hAnsi="Times New Roman"/>
          <w:b w:val="false"/>
          <w:bCs w:val="false"/>
          <w:sz w:val="24"/>
          <w:szCs w:val="24"/>
          <w:lang w:val="ru-RU"/>
        </w:rPr>
        <w:t>-серологические (3 показателя);</w:t>
      </w:r>
    </w:p>
    <w:p>
      <w:pPr>
        <w:pStyle w:val="Normal"/>
        <w:numPr>
          <w:ilvl w:val="0"/>
          <w:numId w:val="0"/>
        </w:numPr>
        <w:suppressAutoHyphens w:val="true"/>
        <w:spacing w:lineRule="auto" w:line="240" w:before="0" w:after="0"/>
        <w:ind w:hanging="0" w:start="0"/>
        <w:jc w:val="both"/>
        <w:rPr>
          <w:rFonts w:ascii="Times New Roman" w:hAnsi="Times New Roman"/>
          <w:b w:val="false"/>
          <w:bCs w:val="false"/>
          <w:sz w:val="24"/>
          <w:szCs w:val="24"/>
          <w:lang w:val="ru-RU"/>
        </w:rPr>
      </w:pPr>
      <w:r>
        <w:rPr>
          <w:rFonts w:ascii="Times New Roman" w:hAnsi="Times New Roman"/>
          <w:b w:val="false"/>
          <w:bCs w:val="false"/>
          <w:sz w:val="24"/>
          <w:szCs w:val="24"/>
          <w:lang w:val="ru-RU"/>
        </w:rPr>
      </w:r>
    </w:p>
    <w:p>
      <w:pPr>
        <w:pStyle w:val="Normal"/>
        <w:numPr>
          <w:ilvl w:val="1"/>
          <w:numId w:val="4"/>
        </w:numPr>
        <w:suppressAutoHyphens w:val="true"/>
        <w:spacing w:lineRule="auto" w:line="240" w:before="0" w:after="0"/>
        <w:ind w:hanging="0" w:start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Инструментальные методы диагностики: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</w:p>
    <w:p>
      <w:pPr>
        <w:pStyle w:val="Normal"/>
        <w:numPr>
          <w:ilvl w:val="0"/>
          <w:numId w:val="0"/>
        </w:numPr>
        <w:ind w:hanging="0" w:start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 xml:space="preserve">-ультразвуковые исследования (3 исследования за период обслуживания); </w:t>
      </w:r>
    </w:p>
    <w:p>
      <w:pPr>
        <w:pStyle w:val="Normal"/>
        <w:numPr>
          <w:ilvl w:val="0"/>
          <w:numId w:val="0"/>
        </w:numPr>
        <w:ind w:hanging="0" w:star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>-рентген, ЭКГ; ЭЭГ — без ограничений;</w:t>
      </w:r>
    </w:p>
    <w:p>
      <w:pPr>
        <w:pStyle w:val="Normal"/>
        <w:numPr>
          <w:ilvl w:val="0"/>
          <w:numId w:val="0"/>
        </w:numPr>
        <w:suppressAutoHyphens w:val="true"/>
        <w:spacing w:lineRule="auto" w:line="240" w:before="0" w:after="0"/>
        <w:ind w:hanging="0" w:star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ЭХО-КГ – однократно;</w:t>
      </w:r>
    </w:p>
    <w:p>
      <w:pPr>
        <w:pStyle w:val="Normal"/>
        <w:numPr>
          <w:ilvl w:val="1"/>
          <w:numId w:val="4"/>
        </w:numPr>
        <w:ind w:hanging="0" w:start="0"/>
        <w:jc w:val="both"/>
        <w:rPr>
          <w:sz w:val="24"/>
          <w:szCs w:val="24"/>
        </w:rPr>
      </w:pPr>
      <w:bookmarkStart w:id="6" w:name="_Hlk49345548"/>
      <w:bookmarkEnd w:id="6"/>
      <w:r>
        <w:rPr>
          <w:rFonts w:cs="Times New Roman" w:ascii="Times New Roman" w:hAnsi="Times New Roman"/>
          <w:b/>
          <w:bCs/>
          <w:sz w:val="24"/>
          <w:szCs w:val="24"/>
          <w:lang w:val="ru-RU"/>
        </w:rPr>
        <w:t>Общие манипуляции и процедуры кроме курсовых процедур: п/к, в/м инъекции (кроме в/в капельных и курсовых инъекций), перевязки, наложение гипсовых повязок — без ограничений;</w:t>
      </w:r>
      <w:bookmarkStart w:id="7" w:name="_Hlk49345548_Копия_1"/>
      <w:bookmarkEnd w:id="7"/>
    </w:p>
    <w:p>
      <w:pPr>
        <w:pStyle w:val="Normal"/>
        <w:numPr>
          <w:ilvl w:val="1"/>
          <w:numId w:val="4"/>
        </w:numPr>
        <w:suppressAutoHyphens w:val="true"/>
        <w:spacing w:lineRule="auto" w:line="240" w:before="0" w:after="0"/>
        <w:ind w:hanging="0" w:star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Физиотерапевтическое лечение:</w:t>
      </w:r>
      <w:r>
        <w:rPr>
          <w:rFonts w:cs="Times New Roman" w:ascii="Times New Roman" w:hAnsi="Times New Roman"/>
          <w:sz w:val="24"/>
          <w:szCs w:val="24"/>
        </w:rPr>
        <w:t xml:space="preserve"> электролечение, светолечение, теплолечение, лазеротерапия, магнитотерапия, фонофорез - </w:t>
      </w:r>
      <w:bookmarkStart w:id="8" w:name="_Hlk49347174"/>
      <w:r>
        <w:rPr>
          <w:rFonts w:cs="Times New Roman" w:ascii="Times New Roman" w:hAnsi="Times New Roman"/>
          <w:sz w:val="24"/>
          <w:szCs w:val="24"/>
        </w:rPr>
        <w:t>1</w:t>
      </w:r>
      <w:bookmarkEnd w:id="8"/>
      <w:r>
        <w:rPr>
          <w:rFonts w:cs="Times New Roman" w:ascii="Times New Roman" w:hAnsi="Times New Roman"/>
          <w:sz w:val="24"/>
          <w:szCs w:val="24"/>
        </w:rPr>
        <w:t xml:space="preserve"> курс на выбор из 5 сеансов за период годового прикрепления;</w:t>
      </w:r>
    </w:p>
    <w:p>
      <w:pPr>
        <w:pStyle w:val="Normal"/>
        <w:numPr>
          <w:ilvl w:val="0"/>
          <w:numId w:val="0"/>
        </w:numPr>
        <w:suppressAutoHyphens w:val="true"/>
        <w:spacing w:lineRule="auto" w:line="240" w:before="0" w:after="0"/>
        <w:ind w:hanging="0" w:star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numPr>
          <w:ilvl w:val="1"/>
          <w:numId w:val="4"/>
        </w:numPr>
        <w:suppressAutoHyphens w:val="true"/>
        <w:spacing w:lineRule="auto" w:line="240" w:before="0" w:after="0"/>
        <w:ind w:hanging="0" w:star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Классический лечебный массаж в поликлинике (не более 1 курса из 10 процедур в течение годового прикрепления).</w:t>
      </w:r>
    </w:p>
    <w:p>
      <w:pPr>
        <w:pStyle w:val="Normal"/>
        <w:numPr>
          <w:ilvl w:val="0"/>
          <w:numId w:val="0"/>
        </w:numPr>
        <w:suppressAutoHyphens w:val="true"/>
        <w:spacing w:lineRule="auto" w:line="240" w:before="0" w:after="0"/>
        <w:ind w:hanging="0" w:star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numPr>
          <w:ilvl w:val="1"/>
          <w:numId w:val="4"/>
        </w:numPr>
        <w:suppressAutoHyphens w:val="true"/>
        <w:spacing w:lineRule="auto" w:line="240" w:before="0" w:after="0"/>
        <w:ind w:hanging="0" w:start="0"/>
        <w:jc w:val="both"/>
        <w:rPr>
          <w:rFonts w:ascii="Times New Roman" w:hAnsi="Times New Roman" w:cs="Times New Roman"/>
          <w:sz w:val="24"/>
          <w:szCs w:val="24"/>
        </w:rPr>
      </w:pPr>
      <w:bookmarkStart w:id="9" w:name="_Hlk40797333"/>
      <w:r>
        <w:rPr>
          <w:rFonts w:cs="Times New Roman" w:ascii="Times New Roman" w:hAnsi="Times New Roman"/>
          <w:b/>
          <w:bCs/>
          <w:sz w:val="24"/>
          <w:szCs w:val="24"/>
        </w:rPr>
        <w:t xml:space="preserve">Оформление медицинской документации: </w:t>
      </w:r>
      <w:bookmarkStart w:id="10" w:name="_Hlk40797591"/>
      <w:bookmarkStart w:id="11" w:name="_Hlk40797591_Копия_1"/>
      <w:bookmarkEnd w:id="9"/>
      <w:r>
        <w:rPr>
          <w:rFonts w:cs="Times New Roman" w:ascii="Times New Roman" w:hAnsi="Times New Roman"/>
          <w:b w:val="false"/>
          <w:bCs w:val="false"/>
          <w:sz w:val="24"/>
          <w:szCs w:val="24"/>
          <w:lang w:val="ru-RU"/>
        </w:rPr>
        <w:t>выдача листков нетрудоспособности (в т.ч. электронных) родителям по уходу за больным ребенком; выписка направлений на консультации и обследования; оформление выписки из медицинской карты; оформление справки в бассейн (ф. № 59, включает оформление справки и анализы), оформление санаторно-курортной карты (ф. 076/у) (1 экземпляр) без анализов и обследований; оформление справки для получения путевки в санаторий (№ 070у)</w:t>
      </w:r>
      <w:bookmarkEnd w:id="11"/>
      <w:r>
        <w:rPr>
          <w:rFonts w:cs="Times New Roman" w:ascii="Times New Roman" w:hAnsi="Times New Roman"/>
          <w:b w:val="false"/>
          <w:bCs w:val="false"/>
          <w:sz w:val="24"/>
          <w:szCs w:val="24"/>
          <w:lang w:val="ru-RU"/>
        </w:rPr>
        <w:t>.</w:t>
      </w:r>
      <w:bookmarkEnd w:id="10"/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yle21"/>
        <w:widowControl w:val="false"/>
        <w:numPr>
          <w:ilvl w:val="0"/>
          <w:numId w:val="4"/>
        </w:numPr>
        <w:overflowPunct w:val="true"/>
        <w:ind w:hanging="0" w:start="0"/>
        <w:rPr>
          <w:szCs w:val="24"/>
          <w:lang w:val="ru-RU"/>
        </w:rPr>
      </w:pPr>
      <w:r>
        <w:rPr>
          <w:szCs w:val="24"/>
          <w:lang w:val="ru-RU"/>
        </w:rPr>
        <w:t>ПОМОЩЬ НА ДОМУ ПО ОСТРОМУ ЗАБОЛЕВАНИЮ:</w:t>
      </w:r>
      <w:bookmarkStart w:id="12" w:name="_Hlk44340180"/>
      <w:bookmarkStart w:id="13" w:name="_Hlk40797385"/>
      <w:bookmarkEnd w:id="12"/>
      <w:bookmarkEnd w:id="13"/>
    </w:p>
    <w:p>
      <w:pPr>
        <w:pStyle w:val="Normal"/>
        <w:spacing w:lineRule="auto" w:line="240" w:before="0" w:after="0"/>
        <w:ind w:hanging="0" w:star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помощь на дому по острому заболеванию не более 2-х раз</w:t>
      </w:r>
      <w:r>
        <w:rPr>
          <w:rFonts w:cs="Times New Roman" w:ascii="Times New Roman" w:hAnsi="Times New Roman"/>
          <w:sz w:val="24"/>
          <w:szCs w:val="24"/>
        </w:rPr>
        <w:t xml:space="preserve"> за период прикрепления оказывается пациентам, которые по состоянию здоровья, характеру заболевания не могут посетить поликлинику, нуждаются в постельном режиме, наблюдении врача; включает в себя: вызов дежурного  врача-педиатра на дом в пределах МКАД и в пределах 30 км от МКАД при наличии прикрепления согласно повышающим коэффициентам за проживание за пределами МКАД. </w:t>
      </w:r>
    </w:p>
    <w:p>
      <w:pPr>
        <w:pStyle w:val="Normal"/>
        <w:spacing w:lineRule="auto" w:line="240" w:before="0" w:after="0"/>
        <w:ind w:hanging="0" w:star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Выезд педиатра на дом не предусматривает оказание скорой и неотложной помощи</w:t>
      </w:r>
      <w:bookmarkStart w:id="14" w:name="_Hlk49263990"/>
      <w:bookmarkEnd w:id="14"/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i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i/>
          <w:sz w:val="24"/>
          <w:szCs w:val="24"/>
          <w:lang w:eastAsia="ar-SA"/>
        </w:rPr>
      </w:r>
    </w:p>
    <w:p>
      <w:pPr>
        <w:pStyle w:val="Style21"/>
        <w:widowControl w:val="false"/>
        <w:numPr>
          <w:ilvl w:val="0"/>
          <w:numId w:val="4"/>
        </w:numPr>
        <w:overflowPunct w:val="true"/>
        <w:ind w:hanging="0" w:start="0"/>
        <w:rPr>
          <w:szCs w:val="24"/>
          <w:lang w:val="ru-RU"/>
        </w:rPr>
      </w:pPr>
      <w:r>
        <w:rPr>
          <w:szCs w:val="24"/>
          <w:lang w:val="ru-RU"/>
        </w:rPr>
        <w:t>ПЛАНОВЫЕ И ПРОФИЛАКТИЧЕСКИЕ МЕРОПРИЯТИЯ:</w:t>
      </w:r>
    </w:p>
    <w:p>
      <w:pPr>
        <w:pStyle w:val="Normal"/>
        <w:widowControl/>
        <w:numPr>
          <w:ilvl w:val="0"/>
          <w:numId w:val="0"/>
        </w:numPr>
        <w:bidi w:val="0"/>
        <w:spacing w:lineRule="auto" w:line="259" w:before="0" w:after="160"/>
        <w:ind w:hanging="0" w:start="0" w:end="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iCs/>
          <w:sz w:val="24"/>
          <w:szCs w:val="24"/>
          <w:lang w:val="ru-RU" w:eastAsia="ar-SA"/>
        </w:rPr>
        <w:t>Профилактические мероприятия согласно приказу МЗ РФ 211 н от 14.04.2025 г. «Об утверждении порядка прохождения несовершеннолетними профилактических медицинских осмотров» проводятся в поликлинике:</w:t>
      </w:r>
    </w:p>
    <w:p>
      <w:pPr>
        <w:pStyle w:val="ListParagraph"/>
        <w:numPr>
          <w:ilvl w:val="0"/>
          <w:numId w:val="0"/>
        </w:numPr>
        <w:spacing w:lineRule="auto" w:line="240" w:before="0" w:after="0"/>
        <w:ind w:hanging="0" w:start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ПЛАНОВАЯ ДИСПАНСЕРИЗАЦИЯ в 3, 4, 5, 6 лет – однократно за период действия программы</w:t>
      </w:r>
    </w:p>
    <w:tbl>
      <w:tblPr>
        <w:tblStyle w:val="af8"/>
        <w:tblW w:w="9345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2516"/>
        <w:gridCol w:w="2136"/>
        <w:gridCol w:w="2491"/>
        <w:gridCol w:w="2202"/>
      </w:tblGrid>
      <w:tr>
        <w:trPr/>
        <w:tc>
          <w:tcPr>
            <w:tcW w:w="2516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Возрастные периоды, в которые проводятся профилактические медицинские осмотры несовершеннолетних</w:t>
            </w:r>
          </w:p>
        </w:tc>
        <w:tc>
          <w:tcPr>
            <w:tcW w:w="2136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Осмотры</w:t>
            </w:r>
          </w:p>
        </w:tc>
        <w:tc>
          <w:tcPr>
            <w:tcW w:w="2491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Лабораторные, функциональные и иные исследования</w:t>
            </w:r>
          </w:p>
        </w:tc>
        <w:tc>
          <w:tcPr>
            <w:tcW w:w="2202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Функциональная диагностика</w:t>
            </w:r>
          </w:p>
        </w:tc>
      </w:tr>
      <w:tr>
        <w:trPr/>
        <w:tc>
          <w:tcPr>
            <w:tcW w:w="2516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3 года</w:t>
            </w:r>
          </w:p>
        </w:tc>
        <w:tc>
          <w:tcPr>
            <w:tcW w:w="2136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Офтальмолог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Невролог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травматолог-ортопед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отоларинголог</w:t>
            </w:r>
          </w:p>
        </w:tc>
        <w:tc>
          <w:tcPr>
            <w:tcW w:w="2491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trike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Общий анализ крови 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Общий анализ мочи</w:t>
            </w:r>
          </w:p>
        </w:tc>
        <w:tc>
          <w:tcPr>
            <w:tcW w:w="2202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2516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4 года</w:t>
            </w:r>
          </w:p>
        </w:tc>
        <w:tc>
          <w:tcPr>
            <w:tcW w:w="2136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Офтальмолог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Невролог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травматолог-ортопед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отоларинголог</w:t>
            </w:r>
          </w:p>
        </w:tc>
        <w:tc>
          <w:tcPr>
            <w:tcW w:w="2491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Общий анализ крови 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Общий анализ мочи</w:t>
            </w:r>
          </w:p>
        </w:tc>
        <w:tc>
          <w:tcPr>
            <w:tcW w:w="2202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2516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5 лет</w:t>
            </w:r>
          </w:p>
        </w:tc>
        <w:tc>
          <w:tcPr>
            <w:tcW w:w="2136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Офтальмолог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Невролог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травматолог-ортопед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отоларинголог</w:t>
            </w:r>
          </w:p>
        </w:tc>
        <w:tc>
          <w:tcPr>
            <w:tcW w:w="2491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Общий анализ крови 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Общий анализ мочи</w:t>
            </w:r>
          </w:p>
        </w:tc>
        <w:tc>
          <w:tcPr>
            <w:tcW w:w="2202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465" w:hRule="atLeast"/>
        </w:trPr>
        <w:tc>
          <w:tcPr>
            <w:tcW w:w="2516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6 лет</w:t>
            </w:r>
          </w:p>
        </w:tc>
        <w:tc>
          <w:tcPr>
            <w:tcW w:w="2136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Офтальмолог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Невролог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травматолог-ортопед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отоларинголог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эндокринолог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уролог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гинеколог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психиатр</w:t>
            </w:r>
          </w:p>
        </w:tc>
        <w:tc>
          <w:tcPr>
            <w:tcW w:w="2491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Общий анализ крови 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Общий анализ мочи, холестерин</w:t>
            </w:r>
          </w:p>
        </w:tc>
        <w:tc>
          <w:tcPr>
            <w:tcW w:w="2202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ЭКГ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УЗИ органов брюшной полости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УЗИ сердца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УЗИ почек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ListParagraph"/>
        <w:spacing w:lineRule="auto" w:line="240" w:before="0" w:after="0"/>
        <w:ind w:hanging="0" w:start="-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Календарь вакцинопрофилактики</w:t>
      </w:r>
    </w:p>
    <w:tbl>
      <w:tblPr>
        <w:tblW w:w="9776" w:type="dxa"/>
        <w:jc w:val="start"/>
        <w:tblInd w:w="-431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3828"/>
        <w:gridCol w:w="5948"/>
      </w:tblGrid>
      <w:tr>
        <w:trPr>
          <w:trHeight w:val="300" w:hRule="atLeast"/>
        </w:trPr>
        <w:tc>
          <w:tcPr>
            <w:tcW w:w="38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Категории и возраст граждан, подлежащих обязательной вакцинации</w:t>
            </w:r>
          </w:p>
        </w:tc>
        <w:tc>
          <w:tcPr>
            <w:tcW w:w="59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Наименование профилактической вакцины</w:t>
            </w:r>
          </w:p>
        </w:tc>
      </w:tr>
      <w:tr>
        <w:trPr>
          <w:trHeight w:val="300" w:hRule="atLeast"/>
        </w:trPr>
        <w:tc>
          <w:tcPr>
            <w:tcW w:w="38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Дети 6 лет</w:t>
            </w:r>
          </w:p>
        </w:tc>
        <w:tc>
          <w:tcPr>
            <w:tcW w:w="59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Ревакцинация против кори, краснухи, эпидемического паротита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300" w:hRule="atLeast"/>
        </w:trPr>
        <w:tc>
          <w:tcPr>
            <w:tcW w:w="38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Дети 7 лет</w:t>
            </w:r>
          </w:p>
        </w:tc>
        <w:tc>
          <w:tcPr>
            <w:tcW w:w="59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Вторая ревакцинация против дифтерии, столбняка </w:t>
            </w:r>
          </w:p>
        </w:tc>
      </w:tr>
      <w:tr>
        <w:trPr>
          <w:trHeight w:val="300" w:hRule="atLeast"/>
        </w:trPr>
        <w:tc>
          <w:tcPr>
            <w:tcW w:w="38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Дети с 3 до 7 лет</w:t>
            </w:r>
          </w:p>
        </w:tc>
        <w:tc>
          <w:tcPr>
            <w:tcW w:w="59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Реакция Манту (Туберкулин) ежегодно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900" w:hRule="atLeast"/>
        </w:trPr>
        <w:tc>
          <w:tcPr>
            <w:tcW w:w="38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Дети с 3 до 7 лет</w:t>
            </w:r>
          </w:p>
        </w:tc>
        <w:tc>
          <w:tcPr>
            <w:tcW w:w="59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Вакцинация против гриппа ежегодно</w:t>
            </w:r>
          </w:p>
        </w:tc>
      </w:tr>
    </w:tbl>
    <w:p>
      <w:pPr>
        <w:pStyle w:val="Normal"/>
        <w:tabs>
          <w:tab w:val="clear" w:pos="708"/>
          <w:tab w:val="left" w:pos="924" w:leader="none"/>
        </w:tabs>
        <w:spacing w:lineRule="auto" w:line="240" w:before="0" w:after="0"/>
        <w:jc w:val="start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Профилактические прививки проводится только в условиях поликлиники.</w:t>
      </w:r>
    </w:p>
    <w:p>
      <w:pPr>
        <w:pStyle w:val="Normal"/>
        <w:widowControl/>
        <w:tabs>
          <w:tab w:val="clear" w:pos="708"/>
          <w:tab w:val="left" w:pos="924" w:leader="none"/>
        </w:tabs>
        <w:suppressAutoHyphens w:val="true"/>
        <w:bidi w:val="0"/>
        <w:spacing w:before="0" w:after="0"/>
        <w:ind w:hanging="0" w:start="-283" w:end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>Вакцинопрофилактика проводится в объемы и сроки, регламентированные Приказом от «06» декабря 2021 г. № 1122 н «Об утверждении национального календаря профилактических прививок, календаря профилактических прививок по эпидемическим показаниям и порядка проведения профилактических прививок (в ред. Приказа Минздрава РФ от 12.12.2023 п. 677 н). При наличии медицинских противопоказаний вакцинация проводится по индивидуальному календарю прививок.</w:t>
      </w:r>
    </w:p>
    <w:p>
      <w:pPr>
        <w:pStyle w:val="Normal"/>
        <w:widowControl/>
        <w:tabs>
          <w:tab w:val="clear" w:pos="708"/>
          <w:tab w:val="left" w:pos="924" w:leader="none"/>
        </w:tabs>
        <w:suppressAutoHyphens w:val="true"/>
        <w:bidi w:val="0"/>
        <w:spacing w:before="0" w:after="0"/>
        <w:ind w:hanging="0" w:start="-283" w:end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ascii="Times New Roman" w:hAnsi="Times New Roman"/>
          <w:sz w:val="24"/>
          <w:szCs w:val="24"/>
          <w:lang w:val="ru-RU" w:eastAsia="ar-SA"/>
        </w:rPr>
        <w:t>Вакцинация, не проведённая в соответствии с возрастом, проводится за дополнительную плату (включая стоимость осмотра врача педиатра, перед вакцинацией)</w:t>
      </w:r>
    </w:p>
    <w:p>
      <w:pPr>
        <w:pStyle w:val="Normal"/>
        <w:tabs>
          <w:tab w:val="clear" w:pos="708"/>
          <w:tab w:val="left" w:pos="924" w:leader="none"/>
        </w:tabs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yle21"/>
        <w:widowControl w:val="false"/>
        <w:numPr>
          <w:ilvl w:val="0"/>
          <w:numId w:val="4"/>
        </w:numPr>
        <w:overflowPunct w:val="true"/>
        <w:ind w:hanging="0" w:start="0"/>
        <w:rPr>
          <w:szCs w:val="24"/>
          <w:lang w:val="ru-RU"/>
        </w:rPr>
      </w:pPr>
      <w:r>
        <w:rPr>
          <w:szCs w:val="24"/>
          <w:lang w:val="ru-RU"/>
        </w:rPr>
        <w:t>ПОРЯДОК ПРЕДОСТАВЛЕНИЯ МЕДИЦИНСКОЙ ПОМОЩИ ПО ПРОГРАММЕ «ДОЧКИ-СЫНОЧКИ» СТАНДАРТ» ДЛЯ ДЕТЕЙ В ВОЗРАСТЕ ОТ 3 ДО 7 ЛЕТ: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360" w:leader="none"/>
          <w:tab w:val="left" w:pos="1260" w:leader="none"/>
        </w:tabs>
        <w:spacing w:lineRule="auto" w:line="240" w:before="0" w:after="0"/>
        <w:ind w:hanging="360" w:star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Медицинская помощь Исполнителем оказывается в соответствии с Правилами внутреннего распорядка и фактическими возможностями клиники.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360" w:leader="none"/>
          <w:tab w:val="left" w:pos="1260" w:leader="none"/>
        </w:tabs>
        <w:spacing w:lineRule="auto" w:line="240" w:before="0" w:after="0"/>
        <w:ind w:hanging="360" w:start="0"/>
        <w:jc w:val="both"/>
        <w:rPr>
          <w:rFonts w:ascii="Times New Roman" w:hAnsi="Times New Roman" w:cs="Times New Roman"/>
          <w:sz w:val="24"/>
          <w:szCs w:val="24"/>
        </w:rPr>
      </w:pPr>
      <w:bookmarkStart w:id="15" w:name="_Hlk45613450"/>
      <w:r>
        <w:rPr>
          <w:rFonts w:cs="Times New Roman" w:ascii="Times New Roman" w:hAnsi="Times New Roman"/>
          <w:sz w:val="24"/>
          <w:szCs w:val="24"/>
        </w:rPr>
        <w:t>В соответствии с Федеральным законом "Об основах охраны здоровья граждан в Российской Федерации" от 21.11.2011 N 323-ФЗ прием врача и проведение манипуляций детям, не достигшим 15-летнего возраста, проводится только в присутствии Законного представителя или уполномоченных представителей Пациента.</w:t>
      </w:r>
      <w:bookmarkEnd w:id="15"/>
    </w:p>
    <w:p>
      <w:pPr>
        <w:pStyle w:val="Normal"/>
        <w:numPr>
          <w:ilvl w:val="0"/>
          <w:numId w:val="3"/>
        </w:numPr>
        <w:tabs>
          <w:tab w:val="clear" w:pos="708"/>
          <w:tab w:val="left" w:pos="360" w:leader="none"/>
          <w:tab w:val="left" w:pos="1260" w:leader="none"/>
        </w:tabs>
        <w:spacing w:lineRule="auto" w:line="240" w:before="0" w:after="0"/>
        <w:ind w:hanging="360" w:star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Медицинские услуги оказываются в соответствии с режимом работы Поликлиники с 8.00 до 22.00 без выходных.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360" w:leader="none"/>
          <w:tab w:val="left" w:pos="1260" w:leader="none"/>
        </w:tabs>
        <w:spacing w:lineRule="auto" w:line="240" w:before="0" w:after="0"/>
        <w:ind w:hanging="360" w:star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Врач - педиатр или менеджер сопровождения договора связывается с Законным представителем в течении 2-3 дней с момента подписания договора и внесения денежных средств по телефону 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360" w:leader="none"/>
          <w:tab w:val="left" w:pos="1260" w:leader="none"/>
        </w:tabs>
        <w:spacing w:lineRule="auto" w:line="240" w:before="0" w:after="0"/>
        <w:ind w:hanging="360" w:start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Запись на прием к врачу в клинику осуществляется через круглосуточный контакт центр: +7(495) 925-88-78, через личный кабинет  на сайте </w:t>
      </w:r>
      <w:hyperlink r:id="rId2">
        <w:r>
          <w:rPr>
            <w:rStyle w:val="Style8"/>
            <w:rFonts w:cs="Times New Roman" w:ascii="Times New Roman" w:hAnsi="Times New Roman"/>
            <w:sz w:val="24"/>
            <w:szCs w:val="24"/>
          </w:rPr>
          <w:t>https://lk.zub.ru</w:t>
        </w:r>
      </w:hyperlink>
      <w:r>
        <w:rPr>
          <w:rFonts w:cs="Times New Roman" w:ascii="Times New Roman" w:hAnsi="Times New Roman"/>
          <w:sz w:val="24"/>
          <w:szCs w:val="24"/>
        </w:rPr>
        <w:t xml:space="preserve">, через собственное  мобильное приложение  или через чат с сотрудником на сайте </w:t>
      </w:r>
      <w:hyperlink r:id="rId3">
        <w:r>
          <w:rPr>
            <w:rStyle w:val="Style8"/>
            <w:rFonts w:cs="Times New Roman" w:ascii="Times New Roman" w:hAnsi="Times New Roman"/>
            <w:sz w:val="24"/>
            <w:szCs w:val="24"/>
          </w:rPr>
          <w:t>https://polyclinika.ru/</w:t>
        </w:r>
      </w:hyperlink>
      <w:r>
        <w:rPr>
          <w:rFonts w:cs="Times New Roman" w:ascii="Times New Roman" w:hAnsi="Times New Roman"/>
          <w:sz w:val="24"/>
          <w:szCs w:val="24"/>
        </w:rPr>
        <w:t xml:space="preserve">  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360" w:leader="none"/>
          <w:tab w:val="left" w:pos="1260" w:leader="none"/>
        </w:tabs>
        <w:spacing w:lineRule="auto" w:line="240" w:before="0" w:after="0"/>
        <w:ind w:hanging="360" w:star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Вызов на дом по заболеванию принимается по телефону: +7(495) 925-88-78</w:t>
      </w:r>
    </w:p>
    <w:p>
      <w:pPr>
        <w:pStyle w:val="ListParagraph"/>
        <w:spacing w:lineRule="auto" w:line="240" w:before="0" w:after="0"/>
        <w:ind w:hanging="0" w:star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Прием вызовов осуществляется с 9:00 до 21:00.</w:t>
      </w:r>
    </w:p>
    <w:p>
      <w:pPr>
        <w:pStyle w:val="ListParagraph"/>
        <w:spacing w:lineRule="auto" w:line="240" w:before="0" w:after="0"/>
        <w:ind w:hanging="0" w:star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Вызовы врача на дом, поступившие до 14:00, осуществляются в тот же день, поступившие после 14:00 осуществляются на следующий день. </w:t>
      </w:r>
    </w:p>
    <w:p>
      <w:pPr>
        <w:pStyle w:val="ListParagraph"/>
        <w:spacing w:lineRule="auto" w:line="240" w:before="0" w:after="0"/>
        <w:ind w:hanging="0" w:star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Помощь на дому осуществляется 7 дней в неделю включая праздничные дни.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360" w:leader="none"/>
          <w:tab w:val="left" w:pos="1260" w:leader="none"/>
        </w:tabs>
        <w:spacing w:lineRule="auto" w:line="240" w:before="0" w:after="0"/>
        <w:ind w:hanging="360" w:star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При вызове врача на дом по заболеванию обслуживание на дому осуществляется врачом - педиатром или дежурным педиатром.</w:t>
      </w:r>
    </w:p>
    <w:p>
      <w:pPr>
        <w:pStyle w:val="21"/>
        <w:numPr>
          <w:ilvl w:val="0"/>
          <w:numId w:val="3"/>
        </w:numPr>
        <w:tabs>
          <w:tab w:val="clear" w:pos="708"/>
          <w:tab w:val="left" w:pos="0" w:leader="none"/>
          <w:tab w:val="left" w:pos="360" w:leader="none"/>
          <w:tab w:val="left" w:pos="1260" w:leader="none"/>
        </w:tabs>
        <w:ind w:hanging="360" w:start="0"/>
        <w:jc w:val="start"/>
        <w:rPr>
          <w:color w:val="auto"/>
          <w:szCs w:val="24"/>
        </w:rPr>
      </w:pPr>
      <w:r>
        <w:rPr>
          <w:color w:val="auto"/>
          <w:szCs w:val="24"/>
        </w:rPr>
        <w:t>Медицинская помощь на дому оказывается по фактическому адресу проживания Пациента указанному строго в договоре:</w:t>
      </w:r>
      <w:r>
        <w:rPr>
          <w:bCs/>
          <w:color w:val="auto"/>
          <w:szCs w:val="24"/>
        </w:rPr>
        <w:t xml:space="preserve"> </w:t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360" w:leader="none"/>
          <w:tab w:val="left" w:pos="1260" w:leader="none"/>
        </w:tabs>
        <w:spacing w:lineRule="auto" w:line="240" w:before="0" w:after="0"/>
        <w:ind w:hanging="360" w:star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При неявке Пациента на плановый прием без предварительного уведомления, время повторного приема определяется Поликлиникой по согласованию с Законным представителем Пациента.</w:t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360" w:leader="none"/>
          <w:tab w:val="left" w:pos="1260" w:leader="none"/>
        </w:tabs>
        <w:spacing w:lineRule="auto" w:line="240" w:before="0" w:after="0"/>
        <w:ind w:hanging="360" w:star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6" w:name="__DdeLink__8341_817890463"/>
      <w:bookmarkEnd w:id="16"/>
      <w:r>
        <w:rPr>
          <w:rFonts w:cs="Times New Roman" w:ascii="Times New Roman" w:hAnsi="Times New Roman"/>
          <w:sz w:val="24"/>
          <w:szCs w:val="24"/>
        </w:rPr>
        <w:t>В случае опоздания на прием в поликлинику, более чем на 50% времени приема Пациент будет принят при первой возможности.</w:t>
      </w:r>
    </w:p>
    <w:p>
      <w:pPr>
        <w:pStyle w:val="21"/>
        <w:numPr>
          <w:ilvl w:val="0"/>
          <w:numId w:val="3"/>
        </w:numPr>
        <w:tabs>
          <w:tab w:val="clear" w:pos="708"/>
          <w:tab w:val="left" w:pos="0" w:leader="none"/>
          <w:tab w:val="left" w:pos="360" w:leader="none"/>
          <w:tab w:val="left" w:pos="1260" w:leader="none"/>
        </w:tabs>
        <w:ind w:hanging="357" w:start="0"/>
        <w:rPr>
          <w:color w:val="auto"/>
          <w:szCs w:val="24"/>
        </w:rPr>
      </w:pPr>
      <w:r>
        <w:rPr>
          <w:color w:val="auto"/>
          <w:szCs w:val="24"/>
        </w:rPr>
        <w:t>По всем вопросам медицинского обслуживания, в том числе лечения и диагностического обследования, Законный представитель Пациента обращается к врачу - педиатру или менеджеру по сопровождению.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360" w:leader="none"/>
          <w:tab w:val="left" w:pos="1260" w:leader="none"/>
        </w:tabs>
        <w:spacing w:lineRule="auto" w:line="240" w:before="0" w:after="0"/>
        <w:ind w:hanging="357" w:star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Все виды плановой медицинской помощи в Поликлинике предоставляются по направлению врача - педиатра.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hanging="357" w:star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Внеплановая помощь при наличии экстренных и неотложных медицинских показаний при обращении в Поликлинику оказывается по факту обращения.</w:t>
      </w:r>
    </w:p>
    <w:p>
      <w:pPr>
        <w:pStyle w:val="21"/>
        <w:numPr>
          <w:ilvl w:val="0"/>
          <w:numId w:val="3"/>
        </w:numPr>
        <w:tabs>
          <w:tab w:val="clear" w:pos="708"/>
          <w:tab w:val="left" w:pos="0" w:leader="none"/>
          <w:tab w:val="left" w:pos="360" w:leader="none"/>
          <w:tab w:val="left" w:pos="1260" w:leader="none"/>
        </w:tabs>
        <w:ind w:hanging="357" w:start="0"/>
        <w:rPr>
          <w:color w:val="auto"/>
          <w:szCs w:val="24"/>
        </w:rPr>
      </w:pPr>
      <w:r>
        <w:rPr>
          <w:color w:val="auto"/>
          <w:szCs w:val="24"/>
        </w:rPr>
        <w:t xml:space="preserve">Плановые мероприятия, соответствующие возрасту 4, 5, 6 лет, входят в программу обслуживания, если на момент прикрепления возраст Пациента составляет </w:t>
      </w:r>
      <w:r>
        <w:rPr>
          <w:strike/>
          <w:color w:val="auto"/>
          <w:szCs w:val="24"/>
        </w:rPr>
        <w:t>4</w:t>
      </w:r>
      <w:r>
        <w:rPr>
          <w:color w:val="auto"/>
          <w:szCs w:val="24"/>
        </w:rPr>
        <w:t>, 5 или 6 лет   плюс 15 календарных дней. Указанные плановые мероприятия могут быть отменены по согласованию с Законным представителем (плановые осмотры) или если они проводились ранее (вакцинации, анализы) или при наличии противопоказаний к их проведению.</w:t>
      </w:r>
    </w:p>
    <w:p>
      <w:pPr>
        <w:pStyle w:val="21"/>
        <w:numPr>
          <w:ilvl w:val="0"/>
          <w:numId w:val="3"/>
        </w:numPr>
        <w:tabs>
          <w:tab w:val="clear" w:pos="708"/>
          <w:tab w:val="left" w:pos="0" w:leader="none"/>
          <w:tab w:val="left" w:pos="360" w:leader="none"/>
          <w:tab w:val="left" w:pos="1080" w:leader="none"/>
          <w:tab w:val="left" w:pos="1260" w:leader="none"/>
        </w:tabs>
        <w:ind w:hanging="357" w:start="0"/>
        <w:rPr>
          <w:color w:val="auto"/>
          <w:szCs w:val="24"/>
        </w:rPr>
      </w:pPr>
      <w:r>
        <w:rPr>
          <w:color w:val="auto"/>
          <w:szCs w:val="24"/>
        </w:rPr>
        <w:t>Предусмотренные программой графики планового осмотра узкими специалистами, вакцинации и лабораторных исследований могут быть изменены по медицинским показаниям на индивидуальный график.</w:t>
      </w:r>
    </w:p>
    <w:p>
      <w:pPr>
        <w:pStyle w:val="21"/>
        <w:numPr>
          <w:ilvl w:val="0"/>
          <w:numId w:val="3"/>
        </w:numPr>
        <w:tabs>
          <w:tab w:val="clear" w:pos="708"/>
          <w:tab w:val="left" w:pos="0" w:leader="none"/>
          <w:tab w:val="left" w:pos="360" w:leader="none"/>
          <w:tab w:val="left" w:pos="1080" w:leader="none"/>
          <w:tab w:val="left" w:pos="1260" w:leader="none"/>
        </w:tabs>
        <w:ind w:hanging="357" w:start="0"/>
        <w:rPr>
          <w:color w:val="auto"/>
          <w:szCs w:val="24"/>
        </w:rPr>
      </w:pPr>
      <w:r>
        <w:rPr>
          <w:bCs/>
          <w:color w:val="auto"/>
          <w:szCs w:val="24"/>
        </w:rPr>
        <w:t>Предусмотренные программой страхования декретированные сроки плановых мероприятий (осмотры педиатром, врачами- специалистами, вакцинации и лабораторных исследований) могут быть изменены наблюдающим педиатром по медицинским показаниям на индивидуальные сроки проведения диспансерных мероприятий.</w:t>
      </w:r>
    </w:p>
    <w:p>
      <w:pPr>
        <w:pStyle w:val="21"/>
        <w:numPr>
          <w:ilvl w:val="0"/>
          <w:numId w:val="3"/>
        </w:numPr>
        <w:tabs>
          <w:tab w:val="clear" w:pos="708"/>
          <w:tab w:val="left" w:pos="0" w:leader="none"/>
          <w:tab w:val="left" w:pos="360" w:leader="none"/>
          <w:tab w:val="left" w:pos="1260" w:leader="none"/>
        </w:tabs>
        <w:ind w:hanging="357" w:start="0"/>
        <w:rPr>
          <w:color w:val="auto"/>
          <w:szCs w:val="24"/>
        </w:rPr>
      </w:pPr>
      <w:r>
        <w:rPr>
          <w:bCs/>
          <w:color w:val="auto"/>
          <w:szCs w:val="24"/>
        </w:rPr>
        <w:t xml:space="preserve">Плановые лабораторные и инструментальные исследования проводятся в соответствии с декретированными сроками проведения данных мероприятий, при этом срок может быть изменен по рекомендации наблюдающего педиатра в соответствии с индивидуальным состоянием здоровья Пациента. </w:t>
      </w:r>
    </w:p>
    <w:p>
      <w:pPr>
        <w:pStyle w:val="21"/>
        <w:numPr>
          <w:ilvl w:val="0"/>
          <w:numId w:val="3"/>
        </w:numPr>
        <w:tabs>
          <w:tab w:val="clear" w:pos="708"/>
          <w:tab w:val="left" w:pos="0" w:leader="none"/>
          <w:tab w:val="left" w:pos="360" w:leader="none"/>
          <w:tab w:val="left" w:pos="1260" w:leader="none"/>
        </w:tabs>
        <w:ind w:hanging="360" w:start="0"/>
        <w:rPr>
          <w:color w:val="auto"/>
          <w:szCs w:val="24"/>
        </w:rPr>
      </w:pPr>
      <w:r>
        <w:rPr>
          <w:color w:val="auto"/>
          <w:szCs w:val="24"/>
        </w:rPr>
        <w:t>Диспансерные осмотры врачами-специалистами при необходимости применения аппаратных методов диагностики и другого поликлинического оборудования проводятся в условиях поликлиники (Программа комплексного медицинского обслуживания от 0 месяцев до 1 года).</w:t>
      </w:r>
    </w:p>
    <w:p>
      <w:pPr>
        <w:pStyle w:val="21"/>
        <w:numPr>
          <w:ilvl w:val="0"/>
          <w:numId w:val="3"/>
        </w:numPr>
        <w:tabs>
          <w:tab w:val="clear" w:pos="708"/>
          <w:tab w:val="left" w:pos="0" w:leader="none"/>
          <w:tab w:val="left" w:pos="360" w:leader="none"/>
          <w:tab w:val="left" w:pos="1260" w:leader="none"/>
        </w:tabs>
        <w:ind w:hanging="360" w:start="0"/>
        <w:rPr>
          <w:color w:val="auto"/>
          <w:szCs w:val="24"/>
        </w:rPr>
      </w:pPr>
      <w:r>
        <w:rPr>
          <w:color w:val="auto"/>
          <w:szCs w:val="24"/>
        </w:rPr>
        <w:t>Вакцинация осуществляется вакцинами отечественного или зарубежного производства в соответствии с действующим национальным календарем профилактических прививок только в условиях поликлиники.</w:t>
      </w:r>
    </w:p>
    <w:p>
      <w:pPr>
        <w:pStyle w:val="21"/>
        <w:tabs>
          <w:tab w:val="clear" w:pos="708"/>
          <w:tab w:val="left" w:pos="0" w:leader="none"/>
          <w:tab w:val="left" w:pos="360" w:leader="none"/>
          <w:tab w:val="left" w:pos="1260" w:leader="none"/>
        </w:tabs>
        <w:ind w:hanging="0"/>
        <w:rPr>
          <w:color w:val="auto"/>
          <w:szCs w:val="24"/>
        </w:rPr>
      </w:pPr>
      <w:r>
        <w:rPr>
          <w:color w:val="auto"/>
          <w:szCs w:val="24"/>
        </w:rPr>
        <w:t xml:space="preserve">- Туберкулинодиагностика (в соответствии с действующим </w:t>
      </w:r>
      <w:r>
        <w:rPr>
          <w:rFonts w:cs="Times New Roman"/>
          <w:color w:val="auto"/>
          <w:szCs w:val="24"/>
          <w:lang w:val="ru-RU"/>
        </w:rPr>
        <w:t>Приказом от «06» декабря 2021 г. № 1122 н</w:t>
      </w:r>
      <w:r>
        <w:rPr>
          <w:color w:val="auto"/>
          <w:szCs w:val="24"/>
        </w:rPr>
        <w:t>), включая оценку результатов проб, проводится только в условиях поликлиники.</w:t>
      </w:r>
    </w:p>
    <w:p>
      <w:pPr>
        <w:pStyle w:val="21"/>
        <w:numPr>
          <w:ilvl w:val="0"/>
          <w:numId w:val="3"/>
        </w:numPr>
        <w:tabs>
          <w:tab w:val="clear" w:pos="708"/>
          <w:tab w:val="left" w:pos="0" w:leader="none"/>
          <w:tab w:val="left" w:pos="360" w:leader="none"/>
          <w:tab w:val="left" w:pos="1260" w:leader="none"/>
        </w:tabs>
        <w:ind w:hanging="360" w:start="0"/>
        <w:rPr>
          <w:color w:val="auto"/>
          <w:szCs w:val="24"/>
        </w:rPr>
      </w:pPr>
      <w:r>
        <w:rPr>
          <w:color w:val="auto"/>
          <w:szCs w:val="24"/>
        </w:rPr>
        <w:t>Общение законного представителя Пациента с сотрудниками Поликлиники производится в корректной форме.</w:t>
      </w:r>
    </w:p>
    <w:p>
      <w:pPr>
        <w:pStyle w:val="21"/>
        <w:numPr>
          <w:ilvl w:val="0"/>
          <w:numId w:val="3"/>
        </w:numPr>
        <w:tabs>
          <w:tab w:val="clear" w:pos="708"/>
          <w:tab w:val="left" w:pos="0" w:leader="none"/>
          <w:tab w:val="left" w:pos="360" w:leader="none"/>
          <w:tab w:val="left" w:pos="1260" w:leader="none"/>
        </w:tabs>
        <w:ind w:hanging="360" w:start="0"/>
        <w:rPr>
          <w:color w:val="auto"/>
          <w:szCs w:val="24"/>
        </w:rPr>
      </w:pPr>
      <w:r>
        <w:rPr>
          <w:color w:val="auto"/>
          <w:szCs w:val="24"/>
        </w:rPr>
        <w:t xml:space="preserve"> </w:t>
      </w:r>
      <w:r>
        <w:rPr>
          <w:color w:val="auto"/>
          <w:szCs w:val="24"/>
        </w:rPr>
        <w:t>Законные представители Пациента обязаны выполнять требования, обеспечивающие качественное предоставление медицинских услуг (в части исполнения диагностических и лечебных мероприятий, процедур и манипуляций, назначенных врачом и врачами-консультантами).</w:t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360" w:leader="none"/>
          <w:tab w:val="left" w:pos="1260" w:leader="none"/>
        </w:tabs>
        <w:spacing w:lineRule="auto" w:line="240" w:before="0" w:after="0"/>
        <w:ind w:hanging="360" w:star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Законный представитель Пациента </w:t>
      </w:r>
      <w:r>
        <w:rPr>
          <w:rStyle w:val="CommentReference"/>
          <w:rFonts w:cs="Times New Roman" w:ascii="Times New Roman" w:hAnsi="Times New Roman"/>
          <w:sz w:val="24"/>
          <w:szCs w:val="24"/>
        </w:rPr>
        <w:t>обязан</w:t>
      </w:r>
      <w:r>
        <w:rPr>
          <w:rFonts w:cs="Times New Roman" w:ascii="Times New Roman" w:hAnsi="Times New Roman"/>
          <w:sz w:val="24"/>
          <w:szCs w:val="24"/>
        </w:rPr>
        <w:t xml:space="preserve"> предоставить врачу и врачам-специалистам полную и достоверную информацию об анамнезе и состоянии здоровья Пациента.</w:t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360" w:leader="none"/>
          <w:tab w:val="left" w:pos="1260" w:leader="none"/>
        </w:tabs>
        <w:spacing w:lineRule="auto" w:line="240" w:before="0" w:after="0"/>
        <w:ind w:hanging="360" w:star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При заключении договора на медицинское обслуживание Законный представитель Пациента</w:t>
      </w:r>
    </w:p>
    <w:p>
      <w:pPr>
        <w:pStyle w:val="ListParagraph"/>
        <w:tabs>
          <w:tab w:val="clear" w:pos="708"/>
          <w:tab w:val="left" w:pos="360" w:leader="none"/>
          <w:tab w:val="left" w:pos="1260" w:leader="none"/>
        </w:tabs>
        <w:spacing w:lineRule="auto" w:line="240" w:before="0" w:after="0"/>
        <w:ind w:hanging="0" w:star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обязан предоставить достоверную информацию о состоянии здоровья Пациента. При наличии:</w:t>
      </w:r>
    </w:p>
    <w:p>
      <w:pPr>
        <w:pStyle w:val="ListParagraph"/>
        <w:tabs>
          <w:tab w:val="clear" w:pos="708"/>
          <w:tab w:val="left" w:pos="360" w:leader="none"/>
          <w:tab w:val="left" w:pos="1260" w:leader="none"/>
        </w:tabs>
        <w:spacing w:lineRule="auto" w:line="240" w:before="0" w:after="0"/>
        <w:ind w:hanging="0" w:star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перинатальной патологии (для детей первых 6 месяцев жизни): недоношенность, асфиксия средней и тяжелой степени, гемолитическая болезнь новорожденных, СДР, Внутриутробная инфекция, гнойно- септические заболевания в раннем неонатальном периоде, анемия новорожденных, диабетическая фетопатия, нарушение мозгового кровообращения 2-3 степени, родовая травма.</w:t>
      </w:r>
    </w:p>
    <w:p>
      <w:pPr>
        <w:pStyle w:val="ListParagraph"/>
        <w:tabs>
          <w:tab w:val="clear" w:pos="708"/>
          <w:tab w:val="left" w:pos="360" w:leader="none"/>
          <w:tab w:val="left" w:pos="1260" w:leader="none"/>
        </w:tabs>
        <w:spacing w:lineRule="auto" w:line="240" w:before="0" w:after="0"/>
        <w:ind w:hanging="0" w:star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имеющихся хронических заболеваниях, требующих динамического наблюдения и клинико-лабораторного контроля.</w:t>
      </w:r>
    </w:p>
    <w:p>
      <w:pPr>
        <w:pStyle w:val="ListParagraph"/>
        <w:tabs>
          <w:tab w:val="clear" w:pos="708"/>
          <w:tab w:val="left" w:pos="360" w:leader="none"/>
          <w:tab w:val="left" w:pos="1260" w:leader="none"/>
        </w:tabs>
        <w:spacing w:lineRule="auto" w:line="240" w:before="0" w:after="0"/>
        <w:ind w:hanging="0" w:star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сведения о них должны присутствовать в предоставленных медицинских документах.</w:t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360" w:leader="none"/>
          <w:tab w:val="left" w:pos="1260" w:leader="none"/>
        </w:tabs>
        <w:spacing w:lineRule="auto" w:line="240" w:before="0" w:after="0"/>
        <w:ind w:hanging="360" w:star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Поликлиника оставляет за собой право ввести повышающий коэффициент в случае                                   </w:t>
      </w:r>
    </w:p>
    <w:p>
      <w:pPr>
        <w:pStyle w:val="ListParagraph"/>
        <w:spacing w:lineRule="auto" w:line="240" w:before="0" w:after="0"/>
        <w:ind w:hanging="0" w:start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выявления патологии, указанной в перечне заболеваний, исключенных программой. А также Поликлиника оставляет за собой право приостановить оказание медицинских услуг по данному заболеванию в рамках действующего Договора.</w:t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360" w:leader="none"/>
          <w:tab w:val="left" w:pos="1260" w:leader="none"/>
        </w:tabs>
        <w:spacing w:lineRule="auto" w:line="240" w:before="0" w:after="0"/>
        <w:ind w:hanging="360" w:star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При выявлении патологии, указанной в п.29, дальнейшее медицинское обслуживание осуществляться в рамках подписанного дополнительного соглашения о введении повышающего коэффициента или расторгает договор согласно пункту указанному в Договоре.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ar-SA"/>
        </w:rPr>
      </w:r>
    </w:p>
    <w:p>
      <w:pPr>
        <w:pStyle w:val="Style21"/>
        <w:widowControl w:val="false"/>
        <w:numPr>
          <w:ilvl w:val="0"/>
          <w:numId w:val="4"/>
        </w:numPr>
        <w:overflowPunct w:val="true"/>
        <w:ind w:hanging="0" w:start="0"/>
        <w:rPr>
          <w:szCs w:val="24"/>
          <w:lang w:val="ru-RU"/>
        </w:rPr>
      </w:pPr>
      <w:r>
        <w:rPr>
          <w:szCs w:val="24"/>
          <w:lang w:val="ru-RU"/>
        </w:rPr>
        <w:t xml:space="preserve">ДОПОЛНИТЕЛЬНЫЕ СЕРВИСНЫЕ УСЛУГИ, ВХОДЯЩИЕ В ПРОГРАММУ МЕДИЦИНСКОГО ОБСЛУЖИВАНИЯ: </w:t>
      </w:r>
    </w:p>
    <w:p>
      <w:pPr>
        <w:pStyle w:val="ListParagraph"/>
        <w:numPr>
          <w:ilvl w:val="1"/>
          <w:numId w:val="4"/>
        </w:numPr>
        <w:tabs>
          <w:tab w:val="clear" w:pos="708"/>
          <w:tab w:val="left" w:pos="360" w:leader="none"/>
          <w:tab w:val="left" w:pos="1260" w:leader="none"/>
        </w:tabs>
        <w:spacing w:lineRule="auto" w:line="24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Личный менеджер по сопровождению на весь срок прикрепления </w:t>
      </w:r>
    </w:p>
    <w:p>
      <w:pPr>
        <w:pStyle w:val="ListParagraph"/>
        <w:numPr>
          <w:ilvl w:val="1"/>
          <w:numId w:val="4"/>
        </w:numPr>
        <w:tabs>
          <w:tab w:val="clear" w:pos="708"/>
          <w:tab w:val="left" w:pos="360" w:leader="none"/>
          <w:tab w:val="left" w:pos="1260" w:leader="none"/>
        </w:tabs>
        <w:spacing w:lineRule="auto" w:line="24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Прямая связь с персональным менеджером по телефону в соответствии с графиком работы персонального менеджера</w:t>
      </w:r>
      <w:bookmarkStart w:id="17" w:name="_Hlk41498491"/>
      <w:bookmarkEnd w:id="17"/>
    </w:p>
    <w:p>
      <w:pPr>
        <w:pStyle w:val="ListParagraph"/>
        <w:numPr>
          <w:ilvl w:val="0"/>
          <w:numId w:val="0"/>
        </w:numPr>
        <w:tabs>
          <w:tab w:val="clear" w:pos="708"/>
          <w:tab w:val="left" w:pos="360" w:leader="none"/>
          <w:tab w:val="left" w:pos="1260" w:leader="none"/>
        </w:tabs>
        <w:spacing w:lineRule="auto" w:line="240" w:before="0" w:after="0"/>
        <w:ind w:hanging="0" w:start="13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0" w:leader="none"/>
        </w:tabs>
        <w:suppressAutoHyphens w:val="true"/>
        <w:spacing w:lineRule="auto" w:line="240" w:before="0" w:after="0"/>
        <w:contextualSpacing/>
        <w:rPr>
          <w:rFonts w:ascii="Times New Roman" w:hAnsi="Times New Roman" w:eastAsia="Times New Roman" w:cs="Times New Roman"/>
          <w:b/>
          <w:bCs/>
          <w:iCs/>
          <w:vanish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iCs/>
          <w:vanish/>
          <w:sz w:val="24"/>
          <w:szCs w:val="24"/>
          <w:lang w:eastAsia="ar-SA"/>
        </w:rPr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0" w:leader="none"/>
        </w:tabs>
        <w:suppressAutoHyphens w:val="true"/>
        <w:spacing w:lineRule="auto" w:line="240" w:before="0" w:after="0"/>
        <w:contextualSpacing/>
        <w:rPr>
          <w:rFonts w:ascii="Times New Roman" w:hAnsi="Times New Roman" w:eastAsia="Times New Roman" w:cs="Times New Roman"/>
          <w:b/>
          <w:bCs/>
          <w:iCs/>
          <w:vanish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iCs/>
          <w:vanish/>
          <w:sz w:val="24"/>
          <w:szCs w:val="24"/>
          <w:lang w:eastAsia="ar-SA"/>
        </w:rPr>
      </w:r>
    </w:p>
    <w:p>
      <w:pPr>
        <w:pStyle w:val="ListParagraph"/>
        <w:numPr>
          <w:ilvl w:val="0"/>
          <w:numId w:val="4"/>
        </w:numPr>
        <w:suppressAutoHyphens w:val="true"/>
        <w:spacing w:lineRule="auto" w:line="240" w:before="0" w:after="0"/>
        <w:contextualSpacing/>
        <w:jc w:val="both"/>
        <w:rPr>
          <w:rFonts w:ascii="Times New Roman" w:hAnsi="Times New Roman" w:cs="Times New Roman"/>
          <w:b/>
          <w:color w:themeColor="text1" w:val="000000"/>
          <w:sz w:val="24"/>
          <w:szCs w:val="24"/>
        </w:rPr>
      </w:pPr>
      <w:r>
        <w:rPr>
          <w:rFonts w:cs="Times New Roman" w:ascii="Times New Roman" w:hAnsi="Times New Roman"/>
          <w:b/>
          <w:color w:themeColor="text1" w:val="000000"/>
          <w:sz w:val="24"/>
          <w:szCs w:val="24"/>
        </w:rPr>
        <w:t>Программой не оплачиваются следующие медицинские услуги:</w:t>
      </w:r>
    </w:p>
    <w:p>
      <w:pPr>
        <w:pStyle w:val="Normal"/>
        <w:rPr>
          <w:rFonts w:ascii="Times New Roman" w:hAnsi="Times New Roman" w:cs="Times New Roman"/>
          <w:b/>
          <w:color w:themeColor="text1" w:val="000000"/>
          <w:sz w:val="24"/>
          <w:szCs w:val="24"/>
        </w:rPr>
      </w:pPr>
      <w:r>
        <w:rPr>
          <w:rFonts w:cs="Times New Roman" w:ascii="Times New Roman" w:hAnsi="Times New Roman"/>
          <w:b/>
          <w:color w:themeColor="text1" w:val="000000"/>
          <w:sz w:val="24"/>
          <w:szCs w:val="24"/>
        </w:rPr>
        <w:t>Дети с установленной 4-й и 5-й группами здоровья на обслуживание по годовой программе медицинского обслуживания не принимаются.</w:t>
      </w:r>
    </w:p>
    <w:p>
      <w:pPr>
        <w:pStyle w:val="Normal"/>
        <w:numPr>
          <w:ilvl w:val="1"/>
          <w:numId w:val="4"/>
        </w:numPr>
        <w:suppressAutoHyphens w:val="true"/>
        <w:spacing w:lineRule="auto" w:line="240" w:before="0" w:after="0"/>
        <w:jc w:val="both"/>
        <w:rPr>
          <w:rFonts w:ascii="Times New Roman" w:hAnsi="Times New Roman" w:cs="Times New Roman"/>
          <w:bCs/>
          <w:color w:themeColor="text1" w:val="000000"/>
          <w:sz w:val="24"/>
          <w:szCs w:val="24"/>
        </w:rPr>
      </w:pPr>
      <w:r>
        <w:rPr>
          <w:rFonts w:cs="Times New Roman" w:ascii="Times New Roman" w:hAnsi="Times New Roman"/>
          <w:bCs/>
          <w:color w:themeColor="text1" w:val="000000"/>
          <w:sz w:val="24"/>
          <w:szCs w:val="24"/>
        </w:rPr>
        <w:t xml:space="preserve">Медицинские услуги, проводимые без медицинских показаний (по желанию пациента) или вне обострения хронического заболевания, оказываемые в профилактических целях, медицинские услуги, рекомендованные сторонними медицинскими учреждениями; </w:t>
      </w:r>
    </w:p>
    <w:p>
      <w:pPr>
        <w:pStyle w:val="Normal"/>
        <w:numPr>
          <w:ilvl w:val="1"/>
          <w:numId w:val="4"/>
        </w:numPr>
        <w:suppressAutoHyphens w:val="true"/>
        <w:spacing w:lineRule="auto" w:line="240" w:before="0" w:after="0"/>
        <w:jc w:val="both"/>
        <w:rPr>
          <w:rFonts w:ascii="Times New Roman" w:hAnsi="Times New Roman" w:cs="Times New Roman"/>
          <w:bCs/>
          <w:color w:themeColor="text1" w:val="000000"/>
          <w:sz w:val="24"/>
          <w:szCs w:val="24"/>
          <w:lang w:val="x-none"/>
        </w:rPr>
      </w:pPr>
      <w:r>
        <w:rPr>
          <w:rFonts w:cs="Times New Roman" w:ascii="Times New Roman" w:hAnsi="Times New Roman"/>
          <w:bCs/>
          <w:color w:themeColor="text1" w:val="000000"/>
          <w:sz w:val="24"/>
          <w:szCs w:val="24"/>
        </w:rPr>
        <w:t>Медицинские услуги, не предусмотренные программой и лечебно-диагностическими возможностями лечебных учреждений</w:t>
      </w:r>
    </w:p>
    <w:p>
      <w:pPr>
        <w:pStyle w:val="Normal"/>
        <w:numPr>
          <w:ilvl w:val="1"/>
          <w:numId w:val="4"/>
        </w:numPr>
        <w:suppressAutoHyphens w:val="true"/>
        <w:spacing w:lineRule="auto" w:line="240" w:before="0" w:after="0"/>
        <w:jc w:val="both"/>
        <w:rPr>
          <w:rFonts w:ascii="Times New Roman" w:hAnsi="Times New Roman" w:cs="Times New Roman"/>
          <w:bCs/>
          <w:color w:themeColor="text1" w:val="000000"/>
          <w:sz w:val="24"/>
          <w:szCs w:val="24"/>
          <w:lang w:val="x-none"/>
        </w:rPr>
      </w:pPr>
      <w:r>
        <w:rPr>
          <w:rFonts w:cs="Times New Roman" w:ascii="Times New Roman" w:hAnsi="Times New Roman"/>
          <w:bCs/>
          <w:color w:themeColor="text1" w:val="000000"/>
          <w:sz w:val="24"/>
          <w:szCs w:val="24"/>
        </w:rPr>
        <w:t>У</w:t>
      </w:r>
      <w:r>
        <w:rPr>
          <w:rFonts w:cs="Times New Roman" w:ascii="Times New Roman" w:hAnsi="Times New Roman"/>
          <w:bCs/>
          <w:color w:themeColor="text1" w:val="000000"/>
          <w:sz w:val="24"/>
          <w:szCs w:val="24"/>
          <w:lang w:val="x-none"/>
        </w:rPr>
        <w:t>слуги, оказанные застрахованному после окончания срока действия договора</w:t>
      </w:r>
      <w:r>
        <w:rPr>
          <w:rFonts w:cs="Times New Roman" w:ascii="Times New Roman" w:hAnsi="Times New Roman"/>
          <w:bCs/>
          <w:color w:themeColor="text1" w:val="000000"/>
          <w:sz w:val="24"/>
          <w:szCs w:val="24"/>
        </w:rPr>
        <w:t>;</w:t>
      </w:r>
      <w:r>
        <w:rPr>
          <w:rFonts w:cs="Times New Roman" w:ascii="Times New Roman" w:hAnsi="Times New Roman"/>
          <w:bCs/>
          <w:color w:themeColor="text1" w:val="000000"/>
          <w:sz w:val="24"/>
          <w:szCs w:val="24"/>
          <w:lang w:val="x-none"/>
        </w:rPr>
        <w:t xml:space="preserve"> </w:t>
      </w:r>
    </w:p>
    <w:p>
      <w:pPr>
        <w:pStyle w:val="Normal"/>
        <w:jc w:val="both"/>
        <w:rPr>
          <w:rFonts w:ascii="Times New Roman" w:hAnsi="Times New Roman" w:cs="Times New Roman"/>
          <w:b/>
          <w:color w:themeColor="text1" w:val="000000"/>
          <w:sz w:val="24"/>
          <w:szCs w:val="24"/>
        </w:rPr>
      </w:pPr>
      <w:r>
        <w:rPr>
          <w:rFonts w:cs="Times New Roman" w:ascii="Times New Roman" w:hAnsi="Times New Roman"/>
          <w:b/>
          <w:color w:themeColor="text1" w:val="000000"/>
          <w:sz w:val="24"/>
          <w:szCs w:val="24"/>
        </w:rPr>
        <w:t>Следующие заболевания и их последствия не входят в программу обслуживания:</w:t>
      </w:r>
    </w:p>
    <w:p>
      <w:pPr>
        <w:pStyle w:val="Normal"/>
        <w:numPr>
          <w:ilvl w:val="1"/>
          <w:numId w:val="4"/>
        </w:numPr>
        <w:suppressAutoHyphens w:val="true"/>
        <w:spacing w:lineRule="auto" w:line="240" w:before="0" w:after="0"/>
        <w:jc w:val="both"/>
        <w:rPr>
          <w:rFonts w:ascii="Times New Roman" w:hAnsi="Times New Roman" w:cs="Times New Roman"/>
          <w:bCs/>
          <w:color w:themeColor="text1" w:val="000000"/>
          <w:sz w:val="24"/>
          <w:szCs w:val="24"/>
        </w:rPr>
      </w:pPr>
      <w:r>
        <w:rPr>
          <w:rFonts w:cs="Times New Roman" w:ascii="Times New Roman" w:hAnsi="Times New Roman"/>
          <w:bCs/>
          <w:color w:themeColor="text1" w:val="000000"/>
          <w:sz w:val="24"/>
          <w:szCs w:val="24"/>
        </w:rPr>
        <w:t>Злокачественные новообразования всех органов и тканей (включая гемобластозы), доброкачественные новообразования.</w:t>
      </w:r>
    </w:p>
    <w:p>
      <w:pPr>
        <w:pStyle w:val="Normal"/>
        <w:numPr>
          <w:ilvl w:val="1"/>
          <w:numId w:val="4"/>
        </w:numPr>
        <w:suppressAutoHyphens w:val="true"/>
        <w:spacing w:lineRule="auto" w:line="240" w:before="0" w:after="0"/>
        <w:jc w:val="both"/>
        <w:rPr>
          <w:rFonts w:ascii="Times New Roman" w:hAnsi="Times New Roman" w:cs="Times New Roman"/>
          <w:bCs/>
          <w:color w:themeColor="text1" w:val="000000"/>
          <w:sz w:val="24"/>
          <w:szCs w:val="24"/>
        </w:rPr>
      </w:pPr>
      <w:r>
        <w:rPr>
          <w:rFonts w:cs="Times New Roman" w:ascii="Times New Roman" w:hAnsi="Times New Roman"/>
          <w:bCs/>
          <w:color w:themeColor="text1" w:val="000000"/>
          <w:sz w:val="24"/>
          <w:szCs w:val="24"/>
        </w:rPr>
        <w:t>Врожденные аномалии (пороки развития), деформации и хромосомные нарушения; наследственные заболевания.</w:t>
      </w:r>
    </w:p>
    <w:p>
      <w:pPr>
        <w:pStyle w:val="Normal"/>
        <w:numPr>
          <w:ilvl w:val="1"/>
          <w:numId w:val="4"/>
        </w:numPr>
        <w:suppressAutoHyphens w:val="true"/>
        <w:spacing w:lineRule="auto" w:line="240" w:before="0" w:after="0"/>
        <w:jc w:val="both"/>
        <w:rPr>
          <w:rFonts w:ascii="Times New Roman" w:hAnsi="Times New Roman" w:cs="Times New Roman"/>
          <w:bCs/>
          <w:color w:themeColor="text1" w:val="000000"/>
          <w:sz w:val="24"/>
          <w:szCs w:val="24"/>
        </w:rPr>
      </w:pPr>
      <w:r>
        <w:rPr>
          <w:rFonts w:cs="Times New Roman" w:ascii="Times New Roman" w:hAnsi="Times New Roman"/>
          <w:bCs/>
          <w:color w:themeColor="text1" w:val="000000"/>
          <w:sz w:val="24"/>
          <w:szCs w:val="24"/>
        </w:rPr>
        <w:t>Системные, атрофические, демиелинизирующие и дегенеративные заболевания нервной системы; болезнь Паркинсона и вторичный паркинсонизм; эпилепсия; церебральный паралич и другие паралитические синдромы; расстройства психологического развития (аутизм и прочие).</w:t>
      </w:r>
    </w:p>
    <w:p>
      <w:pPr>
        <w:pStyle w:val="Normal"/>
        <w:numPr>
          <w:ilvl w:val="1"/>
          <w:numId w:val="4"/>
        </w:numPr>
        <w:suppressAutoHyphens w:val="true"/>
        <w:spacing w:lineRule="auto" w:line="240" w:before="0" w:after="0"/>
        <w:jc w:val="both"/>
        <w:rPr>
          <w:rFonts w:ascii="Times New Roman" w:hAnsi="Times New Roman" w:cs="Times New Roman"/>
          <w:bCs/>
          <w:color w:themeColor="text1" w:val="000000"/>
          <w:sz w:val="24"/>
          <w:szCs w:val="24"/>
        </w:rPr>
      </w:pPr>
      <w:r>
        <w:rPr>
          <w:rFonts w:cs="Times New Roman" w:ascii="Times New Roman" w:hAnsi="Times New Roman"/>
          <w:bCs/>
          <w:color w:themeColor="text1" w:val="000000"/>
          <w:sz w:val="24"/>
          <w:szCs w:val="24"/>
        </w:rPr>
        <w:t>Расстройства сна (включая синдром апное во сне); ронхопатия.</w:t>
      </w:r>
    </w:p>
    <w:p>
      <w:pPr>
        <w:pStyle w:val="Normal"/>
        <w:numPr>
          <w:ilvl w:val="1"/>
          <w:numId w:val="4"/>
        </w:numPr>
        <w:suppressAutoHyphens w:val="true"/>
        <w:spacing w:lineRule="auto" w:line="240" w:before="0" w:after="0"/>
        <w:jc w:val="both"/>
        <w:rPr>
          <w:rFonts w:ascii="Times New Roman" w:hAnsi="Times New Roman" w:cs="Times New Roman"/>
          <w:bCs/>
          <w:color w:themeColor="text1" w:val="000000"/>
          <w:sz w:val="24"/>
          <w:szCs w:val="24"/>
        </w:rPr>
      </w:pPr>
      <w:r>
        <w:rPr>
          <w:rFonts w:cs="Times New Roman" w:ascii="Times New Roman" w:hAnsi="Times New Roman"/>
          <w:bCs/>
          <w:color w:themeColor="text1" w:val="000000"/>
          <w:sz w:val="24"/>
          <w:szCs w:val="24"/>
        </w:rPr>
        <w:t>Системные поражения соединительной ткани (включая ревматические болезни), воспалительные полиартропатии (включая ревматоидный артрит); генерализованный остеоартроз, полиостеоартроз; анкилозирующий спондилит (болезнь Бехтерева).</w:t>
      </w:r>
    </w:p>
    <w:p>
      <w:pPr>
        <w:pStyle w:val="Normal"/>
        <w:numPr>
          <w:ilvl w:val="1"/>
          <w:numId w:val="4"/>
        </w:numPr>
        <w:suppressAutoHyphens w:val="true"/>
        <w:spacing w:lineRule="auto" w:line="240" w:before="0" w:after="0"/>
        <w:jc w:val="both"/>
        <w:rPr>
          <w:rFonts w:ascii="Times New Roman" w:hAnsi="Times New Roman" w:cs="Times New Roman"/>
          <w:bCs/>
          <w:color w:themeColor="text1" w:val="000000"/>
          <w:sz w:val="24"/>
          <w:szCs w:val="24"/>
        </w:rPr>
      </w:pPr>
      <w:r>
        <w:rPr>
          <w:rFonts w:cs="Times New Roman" w:ascii="Times New Roman" w:hAnsi="Times New Roman"/>
          <w:bCs/>
          <w:color w:themeColor="text1" w:val="000000"/>
          <w:sz w:val="24"/>
          <w:szCs w:val="24"/>
        </w:rPr>
        <w:t>Венерические болезни; повторные обращения в течение периода срока страхования по поводу других заболеваний, передающихся преимущественно половым путем (ЗППП); болезнь, вызванная вирусом иммунодефицита человека (ВИЧ-инфекция) и ВИЧ-ассоциированные заболевания.</w:t>
      </w:r>
    </w:p>
    <w:p>
      <w:pPr>
        <w:pStyle w:val="Normal"/>
        <w:numPr>
          <w:ilvl w:val="1"/>
          <w:numId w:val="4"/>
        </w:numPr>
        <w:suppressAutoHyphens w:val="true"/>
        <w:spacing w:lineRule="auto" w:line="240" w:before="0" w:after="0"/>
        <w:jc w:val="both"/>
        <w:rPr>
          <w:rFonts w:ascii="Times New Roman" w:hAnsi="Times New Roman" w:cs="Times New Roman"/>
          <w:bCs/>
          <w:color w:themeColor="text1" w:val="000000"/>
          <w:sz w:val="24"/>
          <w:szCs w:val="24"/>
        </w:rPr>
      </w:pPr>
      <w:r>
        <w:rPr>
          <w:rFonts w:cs="Times New Roman" w:ascii="Times New Roman" w:hAnsi="Times New Roman"/>
          <w:bCs/>
          <w:color w:themeColor="text1" w:val="000000"/>
          <w:sz w:val="24"/>
          <w:szCs w:val="24"/>
        </w:rPr>
        <w:t>Особо опасные инфекционные болезни (натуральная оспа, чума, сибирская язва, холера, вирусные геморрагические лихорадки и другие особо опасные инфекции согласно нормативным документам органов управления здравоохранением).</w:t>
      </w:r>
    </w:p>
    <w:p>
      <w:pPr>
        <w:pStyle w:val="Normal"/>
        <w:numPr>
          <w:ilvl w:val="1"/>
          <w:numId w:val="4"/>
        </w:numPr>
        <w:suppressAutoHyphens w:val="true"/>
        <w:spacing w:lineRule="auto" w:line="240" w:before="0" w:after="0"/>
        <w:jc w:val="both"/>
        <w:rPr>
          <w:rFonts w:ascii="Times New Roman" w:hAnsi="Times New Roman" w:cs="Times New Roman"/>
          <w:bCs/>
          <w:color w:themeColor="text1" w:val="000000"/>
          <w:sz w:val="24"/>
          <w:szCs w:val="24"/>
        </w:rPr>
      </w:pPr>
      <w:r>
        <w:rPr>
          <w:rFonts w:cs="Times New Roman" w:ascii="Times New Roman" w:hAnsi="Times New Roman"/>
          <w:bCs/>
          <w:color w:themeColor="text1" w:val="000000"/>
          <w:sz w:val="24"/>
          <w:szCs w:val="24"/>
        </w:rPr>
        <w:t>Иммунодефицитные заболевания и заболевания, проявляющиеся синдромом приобретенного иммунодефицита (СПИД).</w:t>
      </w:r>
    </w:p>
    <w:p>
      <w:pPr>
        <w:pStyle w:val="Normal"/>
        <w:numPr>
          <w:ilvl w:val="1"/>
          <w:numId w:val="4"/>
        </w:numPr>
        <w:suppressAutoHyphens w:val="true"/>
        <w:spacing w:lineRule="auto" w:line="240" w:before="0" w:after="0"/>
        <w:jc w:val="both"/>
        <w:rPr>
          <w:rFonts w:ascii="Times New Roman" w:hAnsi="Times New Roman" w:cs="Times New Roman"/>
          <w:bCs/>
          <w:color w:themeColor="text1" w:val="000000"/>
          <w:sz w:val="24"/>
          <w:szCs w:val="24"/>
        </w:rPr>
      </w:pPr>
      <w:r>
        <w:rPr>
          <w:rFonts w:cs="Times New Roman" w:ascii="Times New Roman" w:hAnsi="Times New Roman"/>
          <w:bCs/>
          <w:color w:themeColor="text1" w:val="000000"/>
          <w:sz w:val="24"/>
          <w:szCs w:val="24"/>
        </w:rPr>
        <w:t>Психические расстройства и расстройства поведения (включая связанные с ними причинно-следственной связью соматические заболевания и травмы); расстройства, связанные с употреблением психоактивных веществ (алкоголизм, наркомания, токсикомания, никотиновая зависимость и др.), включая соматические болезни, возникшие вследствие употребления указанных веществ.</w:t>
      </w:r>
    </w:p>
    <w:p>
      <w:pPr>
        <w:pStyle w:val="Normal"/>
        <w:numPr>
          <w:ilvl w:val="1"/>
          <w:numId w:val="4"/>
        </w:numPr>
        <w:suppressAutoHyphens w:val="true"/>
        <w:spacing w:lineRule="auto" w:line="240" w:before="0" w:after="0"/>
        <w:jc w:val="both"/>
        <w:rPr>
          <w:rFonts w:ascii="Times New Roman" w:hAnsi="Times New Roman" w:cs="Times New Roman"/>
          <w:bCs/>
          <w:color w:themeColor="text1" w:val="000000"/>
          <w:sz w:val="24"/>
          <w:szCs w:val="24"/>
        </w:rPr>
      </w:pPr>
      <w:r>
        <w:rPr>
          <w:rFonts w:cs="Times New Roman" w:ascii="Times New Roman" w:hAnsi="Times New Roman"/>
          <w:bCs/>
          <w:color w:themeColor="text1" w:val="000000"/>
          <w:sz w:val="24"/>
          <w:szCs w:val="24"/>
        </w:rPr>
        <w:t>Глаукома, катаракта, миопия, гиперметропия, астигматизм, заболевания халязиона.</w:t>
      </w:r>
    </w:p>
    <w:p>
      <w:pPr>
        <w:pStyle w:val="Normal"/>
        <w:jc w:val="both"/>
        <w:rPr>
          <w:rFonts w:ascii="Times New Roman" w:hAnsi="Times New Roman" w:cs="Times New Roman"/>
          <w:bCs/>
          <w:color w:themeColor="text1" w:val="000000"/>
          <w:sz w:val="24"/>
          <w:szCs w:val="24"/>
        </w:rPr>
      </w:pPr>
      <w:r>
        <w:rPr>
          <w:rFonts w:cs="Times New Roman" w:ascii="Times New Roman" w:hAnsi="Times New Roman"/>
          <w:bCs/>
          <w:color w:themeColor="text1" w:val="000000"/>
          <w:sz w:val="24"/>
          <w:szCs w:val="24"/>
        </w:rPr>
        <w:t>БОЛЕЗНИ МЫШЦ ГЛАЗА, НАРУШЕНИЯ СОДРУЖЕСТВЕННОГО ДВИЖЕНИЯ ГЛАЗ, АККОМОДАЦИИ И РЕФРАКЦИИ (косоглазие и прочие); нистагм.</w:t>
      </w:r>
    </w:p>
    <w:p>
      <w:pPr>
        <w:pStyle w:val="Normal"/>
        <w:numPr>
          <w:ilvl w:val="1"/>
          <w:numId w:val="4"/>
        </w:numPr>
        <w:suppressAutoHyphens w:val="true"/>
        <w:spacing w:lineRule="auto" w:line="240" w:before="0" w:after="0"/>
        <w:jc w:val="both"/>
        <w:rPr>
          <w:rFonts w:ascii="Times New Roman" w:hAnsi="Times New Roman" w:cs="Times New Roman"/>
          <w:bCs/>
          <w:color w:themeColor="text1" w:val="000000"/>
          <w:sz w:val="24"/>
          <w:szCs w:val="24"/>
        </w:rPr>
      </w:pPr>
      <w:r>
        <w:rPr>
          <w:rFonts w:cs="Times New Roman" w:ascii="Times New Roman" w:hAnsi="Times New Roman"/>
          <w:bCs/>
          <w:color w:themeColor="text1" w:val="000000"/>
          <w:sz w:val="24"/>
          <w:szCs w:val="24"/>
        </w:rPr>
        <w:t>Нейросенсорная тугоухость и другие потери слуха.</w:t>
      </w:r>
    </w:p>
    <w:p>
      <w:pPr>
        <w:pStyle w:val="Normal"/>
        <w:numPr>
          <w:ilvl w:val="1"/>
          <w:numId w:val="4"/>
        </w:numPr>
        <w:suppressAutoHyphens w:val="true"/>
        <w:spacing w:lineRule="auto" w:line="240" w:before="0" w:after="0"/>
        <w:jc w:val="both"/>
        <w:rPr>
          <w:rFonts w:ascii="Times New Roman" w:hAnsi="Times New Roman" w:cs="Times New Roman"/>
          <w:bCs/>
          <w:color w:themeColor="text1" w:val="000000"/>
          <w:sz w:val="24"/>
          <w:szCs w:val="24"/>
        </w:rPr>
      </w:pPr>
      <w:r>
        <w:rPr>
          <w:rFonts w:cs="Times New Roman" w:ascii="Times New Roman" w:hAnsi="Times New Roman"/>
          <w:bCs/>
          <w:color w:themeColor="text1" w:val="000000"/>
          <w:sz w:val="24"/>
          <w:szCs w:val="24"/>
        </w:rPr>
        <w:t>Состояния, связанные с перенесенными заболеваниями: инфаркт, инсульт, аортокоронарное шунтирование, подключение искусственного водителя ритма и их осложнения.</w:t>
      </w:r>
    </w:p>
    <w:p>
      <w:pPr>
        <w:pStyle w:val="Normal"/>
        <w:numPr>
          <w:ilvl w:val="1"/>
          <w:numId w:val="4"/>
        </w:numPr>
        <w:suppressAutoHyphens w:val="true"/>
        <w:spacing w:lineRule="auto" w:line="240" w:before="0" w:after="0"/>
        <w:jc w:val="both"/>
        <w:rPr>
          <w:rFonts w:ascii="Times New Roman" w:hAnsi="Times New Roman" w:cs="Times New Roman"/>
          <w:bCs/>
          <w:color w:themeColor="text1" w:val="000000"/>
          <w:sz w:val="24"/>
          <w:szCs w:val="24"/>
        </w:rPr>
      </w:pPr>
      <w:r>
        <w:rPr>
          <w:rFonts w:cs="Times New Roman" w:ascii="Times New Roman" w:hAnsi="Times New Roman"/>
          <w:bCs/>
          <w:color w:themeColor="text1" w:val="000000"/>
          <w:sz w:val="24"/>
          <w:szCs w:val="24"/>
        </w:rPr>
        <w:t>Сахарный диабет и его осложнения.</w:t>
      </w:r>
    </w:p>
    <w:p>
      <w:pPr>
        <w:pStyle w:val="Normal"/>
        <w:numPr>
          <w:ilvl w:val="1"/>
          <w:numId w:val="4"/>
        </w:numPr>
        <w:suppressAutoHyphens w:val="true"/>
        <w:spacing w:lineRule="auto" w:line="240" w:before="0" w:after="0"/>
        <w:jc w:val="both"/>
        <w:rPr>
          <w:rFonts w:ascii="Times New Roman" w:hAnsi="Times New Roman" w:cs="Times New Roman"/>
          <w:bCs/>
          <w:color w:themeColor="text1" w:val="000000"/>
          <w:sz w:val="24"/>
          <w:szCs w:val="24"/>
        </w:rPr>
      </w:pPr>
      <w:r>
        <w:rPr>
          <w:rFonts w:cs="Times New Roman" w:ascii="Times New Roman" w:hAnsi="Times New Roman"/>
          <w:bCs/>
          <w:color w:themeColor="text1" w:val="000000"/>
          <w:sz w:val="24"/>
          <w:szCs w:val="24"/>
        </w:rPr>
        <w:t>Поверхностные и глубокие микозы, онихомикоз, экзема, нейродермит, атопический дерматит, псориаз, аллопеция, угревая сыпь, себорея, ксероз, ихтиоз, педикулез, акариаз.</w:t>
      </w:r>
    </w:p>
    <w:p>
      <w:pPr>
        <w:pStyle w:val="Normal"/>
        <w:numPr>
          <w:ilvl w:val="1"/>
          <w:numId w:val="4"/>
        </w:numPr>
        <w:suppressAutoHyphens w:val="true"/>
        <w:spacing w:lineRule="auto" w:line="240" w:before="0" w:after="0"/>
        <w:jc w:val="both"/>
        <w:rPr>
          <w:rFonts w:ascii="Times New Roman" w:hAnsi="Times New Roman" w:cs="Times New Roman"/>
          <w:bCs/>
          <w:color w:themeColor="text1" w:val="000000"/>
          <w:sz w:val="24"/>
          <w:szCs w:val="24"/>
        </w:rPr>
      </w:pPr>
      <w:r>
        <w:rPr>
          <w:rFonts w:cs="Times New Roman" w:ascii="Times New Roman" w:hAnsi="Times New Roman"/>
          <w:bCs/>
          <w:color w:themeColor="text1" w:val="000000"/>
          <w:sz w:val="24"/>
          <w:szCs w:val="24"/>
        </w:rPr>
        <w:t>Туберкулез; саркоидоз; амилоидоз.</w:t>
      </w:r>
    </w:p>
    <w:p>
      <w:pPr>
        <w:pStyle w:val="Normal"/>
        <w:numPr>
          <w:ilvl w:val="1"/>
          <w:numId w:val="4"/>
        </w:numPr>
        <w:suppressAutoHyphens w:val="true"/>
        <w:spacing w:lineRule="auto" w:line="240" w:before="0" w:after="0"/>
        <w:jc w:val="both"/>
        <w:rPr>
          <w:rFonts w:ascii="Times New Roman" w:hAnsi="Times New Roman" w:cs="Times New Roman"/>
          <w:bCs/>
          <w:color w:themeColor="text1" w:val="000000"/>
          <w:sz w:val="24"/>
          <w:szCs w:val="24"/>
        </w:rPr>
      </w:pPr>
      <w:r>
        <w:rPr>
          <w:rFonts w:cs="Times New Roman" w:ascii="Times New Roman" w:hAnsi="Times New Roman"/>
          <w:bCs/>
          <w:color w:themeColor="text1" w:val="000000"/>
          <w:sz w:val="24"/>
          <w:szCs w:val="24"/>
        </w:rPr>
        <w:t>Хронические гепатиты, цирроз печени.</w:t>
      </w:r>
    </w:p>
    <w:p>
      <w:pPr>
        <w:pStyle w:val="Normal"/>
        <w:numPr>
          <w:ilvl w:val="1"/>
          <w:numId w:val="4"/>
        </w:numPr>
        <w:suppressAutoHyphens w:val="true"/>
        <w:spacing w:lineRule="auto" w:line="240" w:before="0" w:after="0"/>
        <w:jc w:val="both"/>
        <w:rPr>
          <w:rFonts w:ascii="Times New Roman" w:hAnsi="Times New Roman" w:cs="Times New Roman"/>
          <w:bCs/>
          <w:color w:themeColor="text1" w:val="000000"/>
          <w:sz w:val="24"/>
          <w:szCs w:val="24"/>
        </w:rPr>
      </w:pPr>
      <w:r>
        <w:rPr>
          <w:rFonts w:cs="Times New Roman" w:ascii="Times New Roman" w:hAnsi="Times New Roman"/>
          <w:bCs/>
          <w:color w:themeColor="text1" w:val="000000"/>
          <w:sz w:val="24"/>
          <w:szCs w:val="24"/>
        </w:rPr>
        <w:t>Заболевания, сопровождающиеся хронической почечной или печеночной недостаточностью, требующей проведения экстракорпоральных (эфферентных) методов лечения.</w:t>
      </w:r>
    </w:p>
    <w:p>
      <w:pPr>
        <w:pStyle w:val="Normal"/>
        <w:numPr>
          <w:ilvl w:val="1"/>
          <w:numId w:val="4"/>
        </w:numPr>
        <w:suppressAutoHyphens w:val="true"/>
        <w:spacing w:lineRule="auto" w:line="240" w:before="0" w:after="0"/>
        <w:jc w:val="both"/>
        <w:rPr>
          <w:rFonts w:ascii="Times New Roman" w:hAnsi="Times New Roman" w:cs="Times New Roman"/>
          <w:bCs/>
          <w:color w:themeColor="text1" w:val="000000"/>
          <w:sz w:val="24"/>
          <w:szCs w:val="24"/>
        </w:rPr>
      </w:pPr>
      <w:r>
        <w:rPr>
          <w:rFonts w:cs="Times New Roman" w:ascii="Times New Roman" w:hAnsi="Times New Roman"/>
          <w:bCs/>
          <w:color w:themeColor="text1" w:val="000000"/>
          <w:sz w:val="24"/>
          <w:szCs w:val="24"/>
        </w:rPr>
        <w:t>Последствия воздействия ионизирующих излучений (острая и хроническая лучевая болезнь).</w:t>
      </w:r>
    </w:p>
    <w:p>
      <w:pPr>
        <w:pStyle w:val="Normal"/>
        <w:numPr>
          <w:ilvl w:val="1"/>
          <w:numId w:val="4"/>
        </w:numPr>
        <w:suppressAutoHyphens w:val="true"/>
        <w:spacing w:lineRule="auto" w:line="240" w:before="0" w:after="0"/>
        <w:jc w:val="both"/>
        <w:rPr>
          <w:rFonts w:ascii="Times New Roman" w:hAnsi="Times New Roman" w:cs="Times New Roman"/>
          <w:bCs/>
          <w:color w:themeColor="text1" w:val="000000"/>
          <w:sz w:val="24"/>
          <w:szCs w:val="24"/>
        </w:rPr>
      </w:pPr>
      <w:r>
        <w:rPr>
          <w:rFonts w:cs="Times New Roman" w:ascii="Times New Roman" w:hAnsi="Times New Roman"/>
          <w:bCs/>
          <w:color w:themeColor="text1" w:val="000000"/>
          <w:sz w:val="24"/>
          <w:szCs w:val="24"/>
        </w:rPr>
        <w:t>Заболевания, являющиеся причиной установления инвалидности.</w:t>
      </w:r>
    </w:p>
    <w:p>
      <w:pPr>
        <w:pStyle w:val="Normal"/>
        <w:numPr>
          <w:ilvl w:val="1"/>
          <w:numId w:val="4"/>
        </w:numPr>
        <w:suppressAutoHyphens w:val="true"/>
        <w:spacing w:lineRule="auto" w:line="240" w:before="0" w:after="0"/>
        <w:jc w:val="both"/>
        <w:rPr>
          <w:rFonts w:ascii="Times New Roman" w:hAnsi="Times New Roman" w:cs="Times New Roman"/>
          <w:bCs/>
          <w:color w:themeColor="text1" w:val="000000"/>
          <w:sz w:val="24"/>
          <w:szCs w:val="24"/>
        </w:rPr>
      </w:pPr>
      <w:r>
        <w:rPr>
          <w:rFonts w:cs="Times New Roman" w:ascii="Times New Roman" w:hAnsi="Times New Roman"/>
          <w:bCs/>
          <w:color w:themeColor="text1" w:val="000000"/>
          <w:sz w:val="24"/>
          <w:szCs w:val="24"/>
        </w:rPr>
        <w:t>Заболевания, лечение которых требует трансплантации, имплантации, протезирования органов и тканей.</w:t>
      </w:r>
    </w:p>
    <w:p>
      <w:pPr>
        <w:pStyle w:val="Normal"/>
        <w:numPr>
          <w:ilvl w:val="1"/>
          <w:numId w:val="4"/>
        </w:numPr>
        <w:suppressAutoHyphens w:val="true"/>
        <w:spacing w:lineRule="auto" w:line="240" w:before="0" w:after="0"/>
        <w:jc w:val="both"/>
        <w:rPr>
          <w:rFonts w:ascii="Times New Roman" w:hAnsi="Times New Roman" w:cs="Times New Roman"/>
          <w:bCs/>
          <w:color w:themeColor="text1" w:val="000000"/>
          <w:sz w:val="24"/>
          <w:szCs w:val="24"/>
        </w:rPr>
      </w:pPr>
      <w:r>
        <w:rPr>
          <w:rFonts w:cs="Times New Roman" w:ascii="Times New Roman" w:hAnsi="Times New Roman"/>
          <w:bCs/>
          <w:color w:themeColor="text1" w:val="000000"/>
          <w:sz w:val="24"/>
          <w:szCs w:val="24"/>
        </w:rPr>
        <w:t xml:space="preserve">Динамическое наблюдение при фиброзно-кистозной мастопатии (после установления диагноза); исследования и наблюдения при нарушении эндокринных желез (дисфункция яичников, гиперпролактинэмия, гиперандрогенэмия, поликистоз яичников и т.п.). </w:t>
      </w:r>
    </w:p>
    <w:p>
      <w:pPr>
        <w:pStyle w:val="Normal"/>
        <w:numPr>
          <w:ilvl w:val="1"/>
          <w:numId w:val="4"/>
        </w:numPr>
        <w:suppressAutoHyphens w:val="true"/>
        <w:spacing w:lineRule="auto" w:line="240" w:before="0" w:after="0"/>
        <w:jc w:val="both"/>
        <w:rPr>
          <w:rFonts w:ascii="Times New Roman" w:hAnsi="Times New Roman" w:cs="Times New Roman"/>
          <w:bCs/>
          <w:color w:themeColor="text1" w:val="000000"/>
          <w:sz w:val="24"/>
          <w:szCs w:val="24"/>
        </w:rPr>
      </w:pPr>
      <w:r>
        <w:rPr>
          <w:rFonts w:cs="Times New Roman" w:ascii="Times New Roman" w:hAnsi="Times New Roman"/>
          <w:bCs/>
          <w:color w:themeColor="text1" w:val="000000"/>
          <w:sz w:val="24"/>
          <w:szCs w:val="24"/>
        </w:rPr>
        <w:t>Недостаточность и избыточность питания (в том числе ожирение); нарушения обмена веществ; подагра, наблюдение при хронической железодефицитной анемии.</w:t>
      </w:r>
    </w:p>
    <w:p>
      <w:pPr>
        <w:pStyle w:val="Normal"/>
        <w:numPr>
          <w:ilvl w:val="1"/>
          <w:numId w:val="4"/>
        </w:numPr>
        <w:suppressAutoHyphens w:val="true"/>
        <w:spacing w:lineRule="auto" w:line="240" w:before="0" w:after="0"/>
        <w:jc w:val="both"/>
        <w:rPr>
          <w:rFonts w:ascii="Times New Roman" w:hAnsi="Times New Roman" w:cs="Times New Roman"/>
          <w:bCs/>
          <w:color w:themeColor="text1" w:val="000000"/>
          <w:sz w:val="24"/>
          <w:szCs w:val="24"/>
        </w:rPr>
      </w:pPr>
      <w:r>
        <w:rPr>
          <w:rFonts w:cs="Times New Roman" w:ascii="Times New Roman" w:hAnsi="Times New Roman"/>
          <w:bCs/>
          <w:color w:themeColor="text1" w:val="000000"/>
          <w:sz w:val="24"/>
          <w:szCs w:val="24"/>
        </w:rPr>
        <w:t>Вальгусная и варусная деформация конечностей и суставов; все формы плоскостопия (в том числе с болевым синдромом) без признаков острого артрита и (или) бурсита. деформирующие дорсопатии (кифоз, лордоз, сколиоз, остеохондроз и прочие).</w:t>
      </w:r>
    </w:p>
    <w:p>
      <w:pPr>
        <w:pStyle w:val="Normal"/>
        <w:numPr>
          <w:ilvl w:val="1"/>
          <w:numId w:val="4"/>
        </w:numPr>
        <w:suppressAutoHyphens w:val="true"/>
        <w:spacing w:lineRule="auto" w:line="240" w:before="0" w:after="0"/>
        <w:jc w:val="both"/>
        <w:rPr>
          <w:rFonts w:ascii="Times New Roman" w:hAnsi="Times New Roman" w:cs="Times New Roman"/>
          <w:bCs/>
          <w:color w:themeColor="text1" w:val="000000"/>
          <w:sz w:val="24"/>
          <w:szCs w:val="24"/>
        </w:rPr>
      </w:pPr>
      <w:r>
        <w:rPr>
          <w:rFonts w:cs="Times New Roman" w:ascii="Times New Roman" w:hAnsi="Times New Roman"/>
          <w:bCs/>
          <w:color w:themeColor="text1" w:val="000000"/>
          <w:sz w:val="24"/>
          <w:szCs w:val="24"/>
        </w:rPr>
        <w:t>Ожоги более 50% поверхности тела любой степени, ожоги 3Б-4 степени, отморожения 3-4 степени</w:t>
      </w:r>
    </w:p>
    <w:p>
      <w:pPr>
        <w:pStyle w:val="Normal"/>
        <w:numPr>
          <w:ilvl w:val="1"/>
          <w:numId w:val="4"/>
        </w:numPr>
        <w:suppressAutoHyphens w:val="true"/>
        <w:spacing w:lineRule="auto" w:line="240" w:before="0" w:after="0"/>
        <w:jc w:val="both"/>
        <w:rPr>
          <w:rFonts w:ascii="Times New Roman" w:hAnsi="Times New Roman" w:cs="Times New Roman"/>
          <w:bCs/>
          <w:color w:themeColor="text1" w:val="000000"/>
          <w:sz w:val="24"/>
          <w:szCs w:val="24"/>
        </w:rPr>
      </w:pPr>
      <w:r>
        <w:rPr>
          <w:rFonts w:cs="Times New Roman" w:ascii="Times New Roman" w:hAnsi="Times New Roman"/>
          <w:bCs/>
          <w:color w:themeColor="text1" w:val="000000"/>
          <w:sz w:val="24"/>
          <w:szCs w:val="24"/>
        </w:rPr>
        <w:t>Заболевания и состояния, требующие наблюдения и лечения в условиях профильных ЛПУ;</w:t>
      </w:r>
    </w:p>
    <w:p>
      <w:pPr>
        <w:pStyle w:val="Normal"/>
        <w:numPr>
          <w:ilvl w:val="1"/>
          <w:numId w:val="4"/>
        </w:numPr>
        <w:suppressAutoHyphens w:val="true"/>
        <w:spacing w:lineRule="auto" w:line="240" w:before="0" w:after="0"/>
        <w:jc w:val="both"/>
        <w:rPr>
          <w:rFonts w:ascii="Times New Roman" w:hAnsi="Times New Roman" w:cs="Times New Roman"/>
          <w:bCs/>
          <w:color w:themeColor="text1" w:val="000000"/>
          <w:sz w:val="24"/>
          <w:szCs w:val="24"/>
        </w:rPr>
      </w:pPr>
      <w:r>
        <w:rPr>
          <w:rFonts w:cs="Times New Roman" w:ascii="Times New Roman" w:hAnsi="Times New Roman"/>
          <w:bCs/>
          <w:color w:themeColor="text1" w:val="000000"/>
          <w:sz w:val="24"/>
          <w:szCs w:val="24"/>
        </w:rPr>
        <w:t>Все виды инвалидизирующих патологий после направления на КЭК или МСЭ; заболевания, которые послужили или могут являться основанием для установления группы инвалидности, в т.ч. для подготовки посыльного листа во ВТЭК или МСЭ;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Cs/>
          <w:kern w:val="2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kern w:val="2"/>
          <w:sz w:val="24"/>
          <w:szCs w:val="24"/>
          <w:lang w:eastAsia="ar-SA"/>
        </w:rPr>
      </w:r>
    </w:p>
    <w:p>
      <w:pPr>
        <w:pStyle w:val="Normal"/>
        <w:suppressAutoHyphens w:val="true"/>
        <w:spacing w:lineRule="auto" w:line="240" w:before="0" w:after="0"/>
        <w:ind w:hanging="0" w:start="360"/>
        <w:jc w:val="both"/>
        <w:rPr>
          <w:rFonts w:ascii="Times New Roman" w:hAnsi="Times New Roman" w:eastAsia="Times New Roman" w:cs="Times New Roman"/>
          <w:b/>
          <w:bCs/>
          <w:kern w:val="2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kern w:val="2"/>
          <w:sz w:val="24"/>
          <w:szCs w:val="24"/>
          <w:lang w:eastAsia="ar-SA"/>
        </w:rPr>
        <w:t>Следующие медицинские услуги и расходные материалы:</w:t>
      </w:r>
    </w:p>
    <w:p>
      <w:pPr>
        <w:pStyle w:val="Normal"/>
        <w:suppressAutoHyphens w:val="true"/>
        <w:spacing w:lineRule="auto" w:line="240" w:before="0" w:after="0"/>
        <w:ind w:hanging="0" w:start="1380"/>
        <w:jc w:val="both"/>
        <w:rPr>
          <w:rFonts w:ascii="Times New Roman" w:hAnsi="Times New Roman" w:eastAsia="Times New Roman" w:cs="Times New Roman"/>
          <w:kern w:val="2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kern w:val="2"/>
          <w:sz w:val="24"/>
          <w:szCs w:val="24"/>
          <w:lang w:eastAsia="ar-SA"/>
        </w:rPr>
      </w:r>
    </w:p>
    <w:p>
      <w:pPr>
        <w:pStyle w:val="Normal"/>
        <w:numPr>
          <w:ilvl w:val="1"/>
          <w:numId w:val="4"/>
        </w:numPr>
        <w:suppressAutoHyphens w:val="true"/>
        <w:spacing w:lineRule="auto" w:line="240" w:before="0" w:after="0"/>
        <w:ind w:hanging="567" w:start="567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>Услуги, оказанные без медицинских показаний, без назначения врача, по желанию Законного представителя или представителя, не предусмотренные программой.</w:t>
      </w:r>
    </w:p>
    <w:p>
      <w:pPr>
        <w:pStyle w:val="Normal"/>
        <w:numPr>
          <w:ilvl w:val="1"/>
          <w:numId w:val="4"/>
        </w:numPr>
        <w:suppressAutoHyphens w:val="true"/>
        <w:spacing w:lineRule="auto" w:line="240" w:before="0" w:after="0"/>
        <w:ind w:hanging="567" w:start="567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>Услуги, оказанные в оздоровительных, профилактических целях (кроме услуг, указанных в разделах 1,2,3); динамическое наблюдение (в том числе в стоматологии).</w:t>
      </w:r>
    </w:p>
    <w:p>
      <w:pPr>
        <w:pStyle w:val="Normal"/>
        <w:numPr>
          <w:ilvl w:val="1"/>
          <w:numId w:val="4"/>
        </w:numPr>
        <w:suppressAutoHyphens w:val="true"/>
        <w:spacing w:lineRule="auto" w:line="240" w:before="0" w:after="0"/>
        <w:ind w:hanging="567" w:start="567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>Услуги, оказанные с косметической, эстетической целью, в целях улучшения психологического состояния Застрахованного (включая услуги при заболеваниях мягких тканей, кожи и её придатков: мозоли, бородавки, папилломы, контагиозный моллюск, невусы, липомы, вросший ноготь, выпадение волос и т.д.); склеротерапия варикозной болезни вен; коррекция веса; коррекция речи.</w:t>
      </w:r>
    </w:p>
    <w:p>
      <w:pPr>
        <w:pStyle w:val="Normal"/>
        <w:numPr>
          <w:ilvl w:val="1"/>
          <w:numId w:val="4"/>
        </w:numPr>
        <w:suppressAutoHyphens w:val="true"/>
        <w:spacing w:lineRule="auto" w:line="240" w:before="0" w:after="0"/>
        <w:ind w:hanging="567" w:start="567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>Методы диагностики и лечения, относящиеся к традиционной, альтернативной и народной медицине (в том числе гомеопатия, гирудотерапия, фитотерапия, цуботерапия, галотерапия, спелеотерапия); авторские и экспериментальные методы диагностики и лечения, не прошедшие сертификацию и не одобренные Министерством здравоохранения к применению.</w:t>
      </w:r>
    </w:p>
    <w:p>
      <w:pPr>
        <w:pStyle w:val="Normal"/>
        <w:numPr>
          <w:ilvl w:val="1"/>
          <w:numId w:val="4"/>
        </w:numPr>
        <w:suppressAutoHyphens w:val="true"/>
        <w:spacing w:lineRule="auto" w:line="240" w:before="0" w:after="0"/>
        <w:ind w:hanging="567" w:start="567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>Молекулярно-генетические исследования; МРТ, КТ, позитронно-эмисионная томография (ПЭТ).</w:t>
      </w:r>
    </w:p>
    <w:p>
      <w:pPr>
        <w:pStyle w:val="Normal"/>
        <w:numPr>
          <w:ilvl w:val="1"/>
          <w:numId w:val="4"/>
        </w:numPr>
        <w:suppressAutoHyphens w:val="true"/>
        <w:spacing w:lineRule="auto" w:line="240" w:before="0" w:after="0"/>
        <w:ind w:hanging="567" w:start="567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>Экстракорпоральные методы лечения: гемодиализ, плазмоферез, гемосорбция, гемофильтрация, ультрафиолетовое и лазерное облучение крови, озонирование и др.</w:t>
      </w:r>
    </w:p>
    <w:p>
      <w:pPr>
        <w:pStyle w:val="Normal"/>
        <w:numPr>
          <w:ilvl w:val="1"/>
          <w:numId w:val="4"/>
        </w:numPr>
        <w:suppressAutoHyphens w:val="true"/>
        <w:spacing w:lineRule="auto" w:line="240" w:before="0" w:after="0"/>
        <w:ind w:hanging="567" w:start="567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>Нормо-, гипер- и гипобарическая оксигенация; все методы озонотерапии; занятия ЛФК; физиотерапевтические реабилитационно-оздоровительные капсулы (включая Альфа-капсулу); водо-, тепло- и грязелечение; механотерапия; аппаратный массаж; гидроколонотерапия; тренажеры; солярий; бассейн; сауна; мануальная терапия; рефлексотерапия, ударно-волновая терапия.</w:t>
      </w:r>
    </w:p>
    <w:p>
      <w:pPr>
        <w:pStyle w:val="Normal"/>
        <w:numPr>
          <w:ilvl w:val="1"/>
          <w:numId w:val="4"/>
        </w:numPr>
        <w:suppressAutoHyphens w:val="true"/>
        <w:spacing w:lineRule="auto" w:line="240" w:before="0" w:after="0"/>
        <w:ind w:hanging="567" w:start="567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  <w:t>Удаление серных пробок, туалет слухового прохода, пневмомассаж барабанной перепонки.</w:t>
      </w:r>
    </w:p>
    <w:p>
      <w:pPr>
        <w:pStyle w:val="Normal"/>
        <w:numPr>
          <w:ilvl w:val="1"/>
          <w:numId w:val="4"/>
        </w:numPr>
        <w:suppressAutoHyphens w:val="true"/>
        <w:spacing w:lineRule="auto" w:line="240" w:before="0" w:after="0"/>
        <w:ind w:hanging="567" w:start="567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>Специфическая иммунотерапия (СИТ), скарификационные пробы</w:t>
      </w:r>
      <w:r>
        <w:rPr>
          <w:rFonts w:eastAsia="Times New Roman" w:cs="Times New Roman" w:ascii="Times New Roman" w:hAnsi="Times New Roman"/>
          <w:strike/>
          <w:sz w:val="24"/>
          <w:szCs w:val="24"/>
          <w:lang w:eastAsia="ar-SA"/>
        </w:rPr>
        <w:t xml:space="preserve"> </w:t>
      </w:r>
    </w:p>
    <w:p>
      <w:pPr>
        <w:pStyle w:val="Normal"/>
        <w:numPr>
          <w:ilvl w:val="1"/>
          <w:numId w:val="4"/>
        </w:numPr>
        <w:suppressAutoHyphens w:val="true"/>
        <w:spacing w:lineRule="auto" w:line="240" w:before="0" w:after="0"/>
        <w:ind w:hanging="567" w:start="567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>Плановые хирургические операции (включая лазерные) по поводу нарушений рефракции и аккомодации (близорукость, дальнозоркость, астигматизм и др.), глаукомы, катаракты, отслойки сетчатки, косоглазия; физиотерапевтические методы коррекции зрения (фото- магнитостимуляция и др.); тренировка аккомодационного аппарата глаза аппаратными методами; аппаратные методы лечения и профилактики миопии. Диагностические исследования, консультации и тесты, связанные с подбором очков, линз, коррекцией зрения.</w:t>
      </w:r>
    </w:p>
    <w:p>
      <w:pPr>
        <w:pStyle w:val="Normal"/>
        <w:numPr>
          <w:ilvl w:val="1"/>
          <w:numId w:val="4"/>
        </w:numPr>
        <w:suppressAutoHyphens w:val="true"/>
        <w:spacing w:lineRule="auto" w:line="240" w:before="0" w:after="0"/>
        <w:ind w:hanging="567" w:start="567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>Стационарозамещающие формы оказания медицинской помощи (дневной стационар, стационар одного дня, стационар на дому); реабилитационно-восстановительное лечение.</w:t>
      </w:r>
    </w:p>
    <w:p>
      <w:pPr>
        <w:pStyle w:val="Normal"/>
        <w:numPr>
          <w:ilvl w:val="1"/>
          <w:numId w:val="4"/>
        </w:numPr>
        <w:suppressAutoHyphens w:val="true"/>
        <w:spacing w:lineRule="auto" w:line="240" w:before="0" w:after="0"/>
        <w:ind w:hanging="567" w:start="567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  <w:t>Выезд на дом врачей - специалистов, проведение врачебных диагностических и лечебных манипуляций на дом; выезд на дом процедурной медсестры с проведением манипуляций и процедур, выезд на дом массажиста с проведением услуг.</w:t>
      </w:r>
    </w:p>
    <w:p>
      <w:pPr>
        <w:pStyle w:val="Normal"/>
        <w:numPr>
          <w:ilvl w:val="1"/>
          <w:numId w:val="4"/>
        </w:numPr>
        <w:suppressAutoHyphens w:val="true"/>
        <w:spacing w:lineRule="auto" w:line="240" w:before="0" w:after="0"/>
        <w:ind w:hanging="567" w:start="567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>Лечебные и диагностические пункции (в т.ч. внутрисуставные), лечебные блокады, удаление полипа, радиоэндоскопическое лечение, плановые малые хирургические операции.</w:t>
      </w:r>
    </w:p>
    <w:p>
      <w:pPr>
        <w:pStyle w:val="Normal"/>
        <w:numPr>
          <w:ilvl w:val="1"/>
          <w:numId w:val="4"/>
        </w:numPr>
        <w:suppressAutoHyphens w:val="true"/>
        <w:spacing w:lineRule="auto" w:line="240" w:before="0" w:after="0"/>
        <w:ind w:hanging="567" w:start="567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 xml:space="preserve">Диспансерное наблюдение; </w:t>
      </w:r>
    </w:p>
    <w:p>
      <w:pPr>
        <w:pStyle w:val="Normal"/>
        <w:numPr>
          <w:ilvl w:val="1"/>
          <w:numId w:val="4"/>
        </w:numPr>
        <w:suppressAutoHyphens w:val="true"/>
        <w:spacing w:lineRule="auto" w:line="240" w:before="0" w:after="0"/>
        <w:ind w:hanging="567" w:start="567"/>
        <w:jc w:val="both"/>
        <w:rPr>
          <w:rFonts w:ascii="Times New Roman" w:hAnsi="Times New Roman" w:eastAsia="Times New Roman" w:cs="Times New Roman"/>
          <w:strike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 xml:space="preserve">Курсовые врачебные манипуляции и процедуры в офтальмологии, отоларингологии, урологии, гинекологии, физиотерапия в офтальмологии,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  <w:t>в  том числе аппаратные методы .</w:t>
      </w:r>
    </w:p>
    <w:p>
      <w:pPr>
        <w:pStyle w:val="Normal"/>
        <w:numPr>
          <w:ilvl w:val="1"/>
          <w:numId w:val="4"/>
        </w:numPr>
        <w:suppressAutoHyphens w:val="true"/>
        <w:spacing w:lineRule="auto" w:line="240" w:before="0" w:after="0"/>
        <w:ind w:hanging="567" w:start="567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>Иммунологические исследования; аллерготесты и генетические исследования; исследования на онкомаркеры, гормональные и другие исследования (кроме указанных в п.1.2. Программы), анализ кала на дисбактериоз</w:t>
      </w:r>
      <w:bookmarkStart w:id="18" w:name="_Hlk44340467"/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>;</w:t>
      </w:r>
      <w:r>
        <w:rPr>
          <w:rFonts w:cs="Times New Roman" w:ascii="Times New Roman" w:hAnsi="Times New Roman"/>
          <w:sz w:val="24"/>
          <w:szCs w:val="24"/>
        </w:rPr>
        <w:t xml:space="preserve"> анализ кала на углеводы, экспресс-тесты;</w:t>
      </w:r>
      <w:bookmarkEnd w:id="18"/>
    </w:p>
    <w:p>
      <w:pPr>
        <w:pStyle w:val="Normal"/>
        <w:numPr>
          <w:ilvl w:val="1"/>
          <w:numId w:val="4"/>
        </w:numPr>
        <w:suppressAutoHyphens w:val="true"/>
        <w:spacing w:lineRule="auto" w:line="240" w:before="0" w:after="0"/>
        <w:ind w:hanging="567" w:start="567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  <w:t>Иммунопрофилактика вакцинами, не входящими в национальный календарь прививок, в том числе комбинированными вакцинами импортного производства, (за исключением плановой вакцинации, предусмотренной Программой, экстренной профилактики столбняка и бешенства).</w:t>
      </w:r>
    </w:p>
    <w:p>
      <w:pPr>
        <w:pStyle w:val="Normal"/>
        <w:numPr>
          <w:ilvl w:val="1"/>
          <w:numId w:val="4"/>
        </w:numPr>
        <w:suppressAutoHyphens w:val="true"/>
        <w:spacing w:lineRule="auto" w:line="240" w:before="0" w:after="0"/>
        <w:ind w:hanging="567" w:start="567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>Услуги, связанные с выдачей/продлением личных медицинских книжек, справок без медицинских показаний (на управление транспортным средством, для посещения спортивно-оздоровительных учреждений в т.ч. бассейна, более 1 раза, для выезда за рубеж, для поступления в дошкольные и образовательные заведения более 1 раза, для ношения и хранения оружия, для выдачи кредита и др.); услуги, связанные с прохождением медико-социальной экспертизы; услуги, связанные с оформлением санаторно-курортных карт.</w:t>
      </w:r>
    </w:p>
    <w:p>
      <w:pPr>
        <w:pStyle w:val="Normal"/>
        <w:numPr>
          <w:ilvl w:val="1"/>
          <w:numId w:val="4"/>
        </w:numPr>
        <w:suppressAutoHyphens w:val="true"/>
        <w:spacing w:lineRule="auto" w:line="240" w:before="0" w:after="0"/>
        <w:ind w:hanging="567" w:start="567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>Дорогостоящие расходные материалы, требующиеся при оказании медицинских услуг (протезы, эндопротезы, имплантаты, стенты, кардиостимуляторы, проводники, металлоконструкции, контрастные вещества и др.); медицинское оборудование, очки, контактные линзы, слуховые аппараты и другие медицинские изделия; изделия, предназначенные для ухода за больными, включая средства личной гигиены.</w:t>
      </w:r>
    </w:p>
    <w:p>
      <w:pPr>
        <w:pStyle w:val="Normal"/>
        <w:numPr>
          <w:ilvl w:val="1"/>
          <w:numId w:val="4"/>
        </w:numPr>
        <w:suppressAutoHyphens w:val="true"/>
        <w:spacing w:lineRule="auto" w:line="240" w:before="0" w:after="0"/>
        <w:ind w:hanging="567" w:start="567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>Лекарственные средства при амбулаторно-поликлиническом лечении.</w:t>
      </w:r>
    </w:p>
    <w:p>
      <w:pPr>
        <w:pStyle w:val="Normal"/>
        <w:numPr>
          <w:ilvl w:val="1"/>
          <w:numId w:val="4"/>
        </w:numPr>
        <w:suppressAutoHyphens w:val="true"/>
        <w:spacing w:lineRule="auto" w:line="240" w:before="0" w:after="0"/>
        <w:ind w:hanging="567" w:start="567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>Проведение догоспитального обследования, организация диагностических и лечебных мероприятий, с привлечением оборудования и специалистов, отсутствующих в сети</w:t>
      </w:r>
    </w:p>
    <w:p>
      <w:pPr>
        <w:pStyle w:val="Normal"/>
        <w:numPr>
          <w:ilvl w:val="1"/>
          <w:numId w:val="4"/>
        </w:numPr>
        <w:suppressAutoHyphens w:val="true"/>
        <w:spacing w:lineRule="auto" w:line="240" w:before="0" w:after="0"/>
        <w:ind w:hanging="567" w:start="567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>Услуги, связанные с выдачей/продлением справок без медицинских показаний, кроме указанных в п 1.7. программы медицинского обслуживания; услуги, связанные с прохождением медико-социальной экспертизы; услуги, связанные с оформлением санаторно-курортных карт.</w:t>
      </w:r>
      <w:bookmarkStart w:id="19" w:name="_Hlk49354163"/>
      <w:bookmarkEnd w:id="19"/>
    </w:p>
    <w:p>
      <w:pPr>
        <w:pStyle w:val="Normal"/>
        <w:numPr>
          <w:ilvl w:val="1"/>
          <w:numId w:val="4"/>
        </w:numPr>
        <w:suppressAutoHyphens w:val="true"/>
        <w:spacing w:lineRule="auto" w:line="240" w:before="0" w:after="0"/>
        <w:ind w:hanging="567" w:start="567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>Все виды стоматологических услуг, кроме указанных в программе.</w:t>
      </w:r>
      <w:bookmarkStart w:id="20" w:name="_Hlk49268145"/>
      <w:bookmarkEnd w:id="20"/>
    </w:p>
    <w:p>
      <w:pPr>
        <w:pStyle w:val="Normal"/>
        <w:suppressAutoHyphens w:val="true"/>
        <w:spacing w:lineRule="auto" w:line="240" w:before="0" w:after="0"/>
        <w:ind w:hanging="0" w:start="567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ar-SA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Calibri">
    <w:charset w:val="cc" w:characterSet="windows-1251"/>
    <w:family w:val="roman"/>
    <w:pitch w:val="variable"/>
  </w:font>
  <w:font w:name="OpenSymbol">
    <w:altName w:val="Arial Unicode MS"/>
    <w:charset w:val="cc" w:characterSet="windows-1251"/>
    <w:family w:val="roman"/>
    <w:pitch w:val="variable"/>
  </w:font>
  <w:font w:name="Segoe UI"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swiss"/>
    <w:pitch w:val="variable"/>
  </w:font>
  <w:font w:name="Times New Roman">
    <w:charset w:val="cc" w:characterSet="windows-1251"/>
    <w:family w:val="roman"/>
    <w:pitch w:val="variable"/>
  </w:font>
  <w:font w:name="Times New Roman CYR">
    <w:charset w:val="cc" w:characterSet="windows-1251"/>
    <w:family w:val="roman"/>
    <w:pitch w:val="variable"/>
  </w:font>
  <w:font w:name="Liberation Mono">
    <w:altName w:val="Courier New"/>
    <w:charset w:val="cc" w:characterSet="windows-1251"/>
    <w:family w:val="roman"/>
    <w:pitch w:val="variable"/>
  </w:font>
  <w:font w:name="Times New Roman">
    <w:charset w:val="01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2">
    <w:lvl w:ilvl="0">
      <w:start w:val="2"/>
      <w:numFmt w:val="decimal"/>
      <w:lvlText w:val="%1."/>
      <w:lvlJc w:val="start"/>
      <w:pPr>
        <w:tabs>
          <w:tab w:val="num" w:pos="0"/>
        </w:tabs>
        <w:ind w:start="360" w:hanging="360"/>
      </w:pPr>
      <w:rPr/>
    </w:lvl>
    <w:lvl w:ilvl="1">
      <w:start w:val="1"/>
      <w:numFmt w:val="decimal"/>
      <w:lvlText w:val="%1.%2."/>
      <w:lvlJc w:val="start"/>
      <w:pPr>
        <w:tabs>
          <w:tab w:val="num" w:pos="0"/>
        </w:tabs>
        <w:ind w:start="792" w:hanging="432"/>
      </w:pPr>
      <w:rPr/>
    </w:lvl>
    <w:lvl w:ilvl="2">
      <w:start w:val="1"/>
      <w:numFmt w:val="decimal"/>
      <w:lvlText w:val="%1.%2.%3."/>
      <w:lvlJc w:val="start"/>
      <w:pPr>
        <w:tabs>
          <w:tab w:val="num" w:pos="0"/>
        </w:tabs>
        <w:ind w:start="1224" w:hanging="504"/>
      </w:pPr>
      <w:rPr/>
    </w:lvl>
    <w:lvl w:ilvl="3">
      <w:start w:val="1"/>
      <w:numFmt w:val="decimal"/>
      <w:lvlText w:val="%1.%2.%3.%4."/>
      <w:lvlJc w:val="start"/>
      <w:pPr>
        <w:tabs>
          <w:tab w:val="num" w:pos="0"/>
        </w:tabs>
        <w:ind w:start="1728" w:hanging="648"/>
      </w:pPr>
      <w:rPr/>
    </w:lvl>
    <w:lvl w:ilvl="4">
      <w:start w:val="1"/>
      <w:numFmt w:val="decimal"/>
      <w:lvlText w:val="%1.%2.%3.%4.%5."/>
      <w:lvlJc w:val="start"/>
      <w:pPr>
        <w:tabs>
          <w:tab w:val="num" w:pos="0"/>
        </w:tabs>
        <w:ind w:start="2232" w:hanging="792"/>
      </w:pPr>
      <w:rPr/>
    </w:lvl>
    <w:lvl w:ilvl="5">
      <w:start w:val="1"/>
      <w:numFmt w:val="decimal"/>
      <w:lvlText w:val="%1.%2.%3.%4.%5.%6."/>
      <w:lvlJc w:val="start"/>
      <w:pPr>
        <w:tabs>
          <w:tab w:val="num" w:pos="0"/>
        </w:tabs>
        <w:ind w:start="2736" w:hanging="936"/>
      </w:pPr>
      <w:rPr/>
    </w:lvl>
    <w:lvl w:ilvl="6">
      <w:start w:val="1"/>
      <w:numFmt w:val="decimal"/>
      <w:lvlText w:val="%1.%2.%3.%4.%5.%6.%7."/>
      <w:lvlJc w:val="start"/>
      <w:pPr>
        <w:tabs>
          <w:tab w:val="num" w:pos="0"/>
        </w:tabs>
        <w:ind w:start="3240" w:hanging="1080"/>
      </w:pPr>
      <w:rPr/>
    </w:lvl>
    <w:lvl w:ilvl="7">
      <w:start w:val="1"/>
      <w:numFmt w:val="decimal"/>
      <w:lvlText w:val="%1.%2.%3.%4.%5.%6.%7.%8."/>
      <w:lvlJc w:val="start"/>
      <w:pPr>
        <w:tabs>
          <w:tab w:val="num" w:pos="0"/>
        </w:tabs>
        <w:ind w:start="3744" w:hanging="1224"/>
      </w:pPr>
      <w:rPr/>
    </w:lvl>
    <w:lvl w:ilvl="8">
      <w:start w:val="1"/>
      <w:numFmt w:val="decimal"/>
      <w:lvlText w:val="%1.%2.%3.%4.%5.%6.%7.%8.%9."/>
      <w:lvlJc w:val="start"/>
      <w:pPr>
        <w:tabs>
          <w:tab w:val="num" w:pos="0"/>
        </w:tabs>
        <w:ind w:start="4320" w:hanging="1440"/>
      </w:pPr>
      <w:rPr/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  <w:rPr/>
    </w:lvl>
    <w:lvl w:ilvl="1">
      <w:start w:val="9"/>
      <w:numFmt w:val="bullet"/>
      <w:lvlText w:val="-"/>
      <w:lvlJc w:val="start"/>
      <w:pPr>
        <w:tabs>
          <w:tab w:val="num" w:pos="0"/>
        </w:tabs>
        <w:ind w:star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0"/>
        </w:tabs>
        <w:ind w:start="1664" w:hanging="1380"/>
      </w:pPr>
      <w:rPr/>
    </w:lvl>
    <w:lvl w:ilvl="1">
      <w:start w:val="1"/>
      <w:numFmt w:val="decimal"/>
      <w:lvlText w:val="%1.%2."/>
      <w:lvlJc w:val="start"/>
      <w:pPr>
        <w:tabs>
          <w:tab w:val="num" w:pos="0"/>
        </w:tabs>
        <w:ind w:start="1380" w:hanging="1380"/>
      </w:pPr>
      <w:rPr>
        <w:rFonts w:ascii="Times New Roman" w:hAnsi="Times New Roman"/>
        <w:b/>
        <w:bCs/>
        <w:i w:val="false"/>
        <w:iCs/>
        <w:strike w:val="false"/>
        <w:dstrike w:val="false"/>
        <w:sz w:val="24"/>
      </w:rPr>
    </w:lvl>
    <w:lvl w:ilvl="2">
      <w:start w:val="1"/>
      <w:numFmt w:val="decimal"/>
      <w:lvlText w:val="%1.%2.%3."/>
      <w:lvlJc w:val="start"/>
      <w:pPr>
        <w:tabs>
          <w:tab w:val="num" w:pos="0"/>
        </w:tabs>
        <w:ind w:start="3104" w:hanging="1380"/>
      </w:pPr>
      <w:rPr/>
    </w:lvl>
    <w:lvl w:ilvl="3">
      <w:start w:val="1"/>
      <w:numFmt w:val="decimal"/>
      <w:lvlText w:val="%1.%2.%3.%4."/>
      <w:lvlJc w:val="start"/>
      <w:pPr>
        <w:tabs>
          <w:tab w:val="num" w:pos="0"/>
        </w:tabs>
        <w:ind w:start="3824" w:hanging="1380"/>
      </w:pPr>
      <w:rPr/>
    </w:lvl>
    <w:lvl w:ilvl="4">
      <w:start w:val="1"/>
      <w:numFmt w:val="decimal"/>
      <w:lvlText w:val="%1.%2.%3.%4.%5."/>
      <w:lvlJc w:val="start"/>
      <w:pPr>
        <w:tabs>
          <w:tab w:val="num" w:pos="0"/>
        </w:tabs>
        <w:ind w:start="4544" w:hanging="1380"/>
      </w:pPr>
      <w:rPr/>
    </w:lvl>
    <w:lvl w:ilvl="5">
      <w:start w:val="1"/>
      <w:numFmt w:val="decimal"/>
      <w:lvlText w:val="%1.%2.%3.%4.%5.%6."/>
      <w:lvlJc w:val="start"/>
      <w:pPr>
        <w:tabs>
          <w:tab w:val="num" w:pos="0"/>
        </w:tabs>
        <w:ind w:start="5264" w:hanging="1380"/>
      </w:pPr>
      <w:rPr/>
    </w:lvl>
    <w:lvl w:ilvl="6">
      <w:start w:val="1"/>
      <w:numFmt w:val="decimal"/>
      <w:lvlText w:val="%1.%2.%3.%4.%5.%6.%7."/>
      <w:lvlJc w:val="start"/>
      <w:pPr>
        <w:tabs>
          <w:tab w:val="num" w:pos="0"/>
        </w:tabs>
        <w:ind w:start="6044" w:hanging="1440"/>
      </w:pPr>
      <w:rPr/>
    </w:lvl>
    <w:lvl w:ilvl="7">
      <w:start w:val="1"/>
      <w:numFmt w:val="decimal"/>
      <w:lvlText w:val="%1.%2.%3.%4.%5.%6.%7.%8."/>
      <w:lvlJc w:val="start"/>
      <w:pPr>
        <w:tabs>
          <w:tab w:val="num" w:pos="0"/>
        </w:tabs>
        <w:ind w:start="6764" w:hanging="1440"/>
      </w:pPr>
      <w:rPr/>
    </w:lvl>
    <w:lvl w:ilvl="8">
      <w:start w:val="1"/>
      <w:numFmt w:val="decimal"/>
      <w:lvlText w:val="%1.%2.%3.%4.%5.%6.%7.%8.%9."/>
      <w:lvlJc w:val="start"/>
      <w:pPr>
        <w:tabs>
          <w:tab w:val="num" w:pos="0"/>
        </w:tabs>
        <w:ind w:start="7844" w:hanging="1800"/>
      </w:pPr>
      <w:rPr/>
    </w:lvl>
  </w:abstractNum>
  <w:abstractNum w:abstractNumId="5">
    <w:lvl w:ilvl="0">
      <w:start w:val="1"/>
      <w:numFmt w:val="bullet"/>
      <w:lvlText w:val=""/>
      <w:lvlJc w:val="start"/>
      <w:pPr>
        <w:tabs>
          <w:tab w:val="num" w:pos="0"/>
        </w:tabs>
        <w:ind w:start="720" w:hanging="360"/>
      </w:pPr>
      <w:rPr>
        <w:rFonts w:ascii="Wingdings" w:hAnsi="Wingdings" w:cs="Wingdings" w:hint="default"/>
        <w:b/>
        <w:sz w:val="24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4">
    <w:name w:val="heading 4"/>
    <w:basedOn w:val="Title"/>
    <w:next w:val="BodyText"/>
    <w:qFormat/>
    <w:pPr>
      <w:numPr>
        <w:ilvl w:val="3"/>
        <w:numId w:val="1"/>
      </w:numPr>
      <w:spacing w:before="120" w:after="120"/>
      <w:outlineLvl w:val="3"/>
    </w:pPr>
    <w:rPr>
      <w:rFonts w:ascii="Liberation Serif" w:hAnsi="Liberation Serif" w:eastAsia="Segoe UI" w:cs="Tahoma"/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>
    <w:name w:val="Выделение"/>
    <w:basedOn w:val="DefaultParagraphFont"/>
    <w:uiPriority w:val="20"/>
    <w:qFormat/>
    <w:rsid w:val="006f2708"/>
    <w:rPr>
      <w:i/>
      <w:iCs/>
    </w:rPr>
  </w:style>
  <w:style w:type="character" w:styleId="Strong">
    <w:name w:val="Strong"/>
    <w:basedOn w:val="DefaultParagraphFont"/>
    <w:uiPriority w:val="22"/>
    <w:qFormat/>
    <w:rsid w:val="006f2708"/>
    <w:rPr>
      <w:b/>
      <w:bCs/>
    </w:rPr>
  </w:style>
  <w:style w:type="character" w:styleId="Hyperlink">
    <w:name w:val="Hyperlink"/>
    <w:unhideWhenUsed/>
    <w:qFormat/>
    <w:rsid w:val="0068711e"/>
    <w:rPr>
      <w:color w:val="000080"/>
      <w:u w:val="single"/>
    </w:rPr>
  </w:style>
  <w:style w:type="character" w:styleId="Style14" w:customStyle="1">
    <w:name w:val="Выделение жирным"/>
    <w:qFormat/>
    <w:rPr>
      <w:b/>
      <w:bCs/>
    </w:rPr>
  </w:style>
  <w:style w:type="character" w:styleId="ins" w:customStyle="1">
    <w:name w:val="ins"/>
    <w:qFormat/>
    <w:rPr/>
  </w:style>
  <w:style w:type="character" w:styleId="Style15" w:customStyle="1">
    <w:name w:val="Маркеры списка"/>
    <w:qFormat/>
    <w:rPr>
      <w:rFonts w:ascii="OpenSymbol" w:hAnsi="OpenSymbol" w:eastAsia="OpenSymbol" w:cs="OpenSymbol"/>
    </w:rPr>
  </w:style>
  <w:style w:type="character" w:styleId="Style16" w:customStyle="1">
    <w:name w:val="Текст примечания Знак"/>
    <w:basedOn w:val="DefaultParagraphFont"/>
    <w:uiPriority w:val="99"/>
    <w:semiHidden/>
    <w:qFormat/>
    <w:rPr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styleId="Style17" w:customStyle="1">
    <w:name w:val="Текст выноски Знак"/>
    <w:basedOn w:val="DefaultParagraphFont"/>
    <w:uiPriority w:val="99"/>
    <w:semiHidden/>
    <w:qFormat/>
    <w:rsid w:val="00c83818"/>
    <w:rPr>
      <w:rFonts w:ascii="Segoe UI" w:hAnsi="Segoe UI" w:cs="Segoe UI"/>
      <w:sz w:val="18"/>
      <w:szCs w:val="18"/>
    </w:rPr>
  </w:style>
  <w:style w:type="character" w:styleId="Style18" w:customStyle="1">
    <w:name w:val="Тема примечания Знак"/>
    <w:basedOn w:val="Style16"/>
    <w:uiPriority w:val="99"/>
    <w:semiHidden/>
    <w:qFormat/>
    <w:rsid w:val="0082160d"/>
    <w:rPr>
      <w:b/>
      <w:bCs/>
      <w:szCs w:val="20"/>
    </w:rPr>
  </w:style>
  <w:style w:type="paragraph" w:styleId="Style1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IndexHeading">
    <w:name w:val="index heading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qFormat/>
    <w:rsid w:val="0009711c"/>
    <w:pPr>
      <w:spacing w:before="0" w:after="160"/>
      <w:ind w:hanging="0" w:start="720"/>
      <w:contextualSpacing/>
    </w:pPr>
    <w:rPr/>
  </w:style>
  <w:style w:type="paragraph" w:styleId="NormalWeb">
    <w:name w:val="Normal (Web)"/>
    <w:basedOn w:val="Normal"/>
    <w:uiPriority w:val="99"/>
    <w:unhideWhenUsed/>
    <w:qFormat/>
    <w:rsid w:val="006f2708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1" w:customStyle="1">
    <w:name w:val="!Ïîäïèñü"/>
    <w:basedOn w:val="Normal"/>
    <w:qFormat/>
    <w:rsid w:val="00880b73"/>
    <w:pPr>
      <w:overflowPunct w:val="false"/>
      <w:spacing w:lineRule="auto" w:line="240" w:before="0" w:after="0"/>
    </w:pPr>
    <w:rPr>
      <w:rFonts w:ascii="Times New Roman" w:hAnsi="Times New Roman" w:eastAsia="Times New Roman" w:cs="Times New Roman"/>
      <w:b/>
      <w:sz w:val="24"/>
      <w:szCs w:val="20"/>
      <w:lang w:val="en-US" w:eastAsia="ru-RU"/>
    </w:rPr>
  </w:style>
  <w:style w:type="paragraph" w:styleId="Style22" w:customStyle="1">
    <w:name w:val="Нормальный (таблица)"/>
    <w:basedOn w:val="Normal"/>
    <w:next w:val="Normal"/>
    <w:uiPriority w:val="99"/>
    <w:qFormat/>
    <w:rsid w:val="00880b73"/>
    <w:pPr>
      <w:widowControl w:val="false"/>
      <w:spacing w:lineRule="auto" w:line="240" w:before="0" w:after="0"/>
      <w:jc w:val="both"/>
    </w:pPr>
    <w:rPr>
      <w:rFonts w:ascii="Times New Roman CYR" w:hAnsi="Times New Roman CYR" w:eastAsia="" w:cs="Times New Roman CYR" w:eastAsiaTheme="minorEastAsia"/>
      <w:sz w:val="24"/>
      <w:szCs w:val="24"/>
      <w:lang w:eastAsia="ru-RU"/>
    </w:rPr>
  </w:style>
  <w:style w:type="paragraph" w:styleId="user2" w:customStyle="1">
    <w:name w:val="Текст в заданном формате (user)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CommentText">
    <w:name w:val="annotation text"/>
    <w:basedOn w:val="Normal"/>
    <w:uiPriority w:val="99"/>
    <w:semiHidden/>
    <w:unhideWhenUsed/>
    <w:qFormat/>
    <w:pPr>
      <w:spacing w:lineRule="auto" w:line="240"/>
    </w:pPr>
    <w:rPr>
      <w:sz w:val="20"/>
      <w:szCs w:val="20"/>
    </w:rPr>
  </w:style>
  <w:style w:type="paragraph" w:styleId="BalloonText">
    <w:name w:val="Balloon Text"/>
    <w:basedOn w:val="Normal"/>
    <w:uiPriority w:val="99"/>
    <w:semiHidden/>
    <w:unhideWhenUsed/>
    <w:qFormat/>
    <w:rsid w:val="00c83818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annotationsubject">
    <w:name w:val="annotation subject"/>
    <w:basedOn w:val="CommentText"/>
    <w:next w:val="CommentText"/>
    <w:uiPriority w:val="99"/>
    <w:semiHidden/>
    <w:unhideWhenUsed/>
    <w:qFormat/>
    <w:rsid w:val="0082160d"/>
    <w:pPr/>
    <w:rPr>
      <w:b/>
      <w:bCs/>
    </w:rPr>
  </w:style>
  <w:style w:type="paragraph" w:styleId="21" w:customStyle="1">
    <w:name w:val="Основной текст 21"/>
    <w:basedOn w:val="Normal"/>
    <w:qFormat/>
    <w:rsid w:val="004c6284"/>
    <w:pPr>
      <w:suppressAutoHyphens w:val="true"/>
      <w:spacing w:lineRule="auto" w:line="240" w:before="0" w:after="0"/>
      <w:ind w:firstLine="709"/>
      <w:jc w:val="both"/>
    </w:pPr>
    <w:rPr>
      <w:rFonts w:ascii="Times New Roman" w:hAnsi="Times New Roman" w:eastAsia="Times New Roman" w:cs="Times New Roman"/>
      <w:color w:val="00000A"/>
      <w:sz w:val="24"/>
      <w:szCs w:val="20"/>
      <w:lang w:eastAsia="ru-RU"/>
    </w:rPr>
  </w:style>
  <w:style w:type="numbering" w:styleId="Style23" w:default="1">
    <w:name w:val="Без списка"/>
    <w:uiPriority w:val="99"/>
    <w:semiHidden/>
    <w:unhideWhenUsed/>
    <w:qFormat/>
  </w:style>
  <w:style w:type="table" w:default="1" w:styleId="a3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8">
    <w:name w:val="Table Grid"/>
    <w:basedOn w:val="a3"/>
    <w:uiPriority w:val="39"/>
    <w:rsid w:val="006f270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lk.zub.ru/" TargetMode="External"/><Relationship Id="rId3" Type="http://schemas.openxmlformats.org/officeDocument/2006/relationships/hyperlink" Target="https://polyclinika.ru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Application>LibreOffice/25.8.7.2$Windows_X86_64 LibreOffice_project/e9cfafff50477fae0fcf42925ebd2aec2bdc5df4</Application>
  <AppVersion>15.0000</AppVersion>
  <Pages>8</Pages>
  <Words>2547</Words>
  <Characters>19113</Characters>
  <CharactersWithSpaces>21455</CharactersWithSpaces>
  <Paragraphs>187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2020-03-05T14:37:00Z</dcterms:created>
  <dc:creator>Подгорная Ольга Николаевна</dc:creator>
  <dc:description/>
  <dc:language>ru-RU</dc:language>
  <cp:lastModifiedBy/>
  <dcterms:modified xsi:type="dcterms:W3CDTF">2026-07-03T11:27:42Z</dcterms:modified>
  <cp:revision>164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