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1 к Договору №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________________________2026 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360"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«ДОЧКИ-СЫНОЧКИ» СТАНДАРТ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(дети от 3 лет до 7 лет)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Стоимость программы 76 000 рублей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В случае обслуживания застрахованных клиентов Заказчика, проживающих </w:t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за пределами МКАД и в Московской области, вводятся повышающие коэффициенты на программу медицинского обслуживания:</w:t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</w:p>
    <w:tbl>
      <w:tblPr>
        <w:tblW w:w="10332" w:type="dxa"/>
        <w:jc w:val="start"/>
        <w:tblInd w:w="-572" w:type="dxa"/>
        <w:tblLayout w:type="fixed"/>
        <w:tblCellMar>
          <w:top w:w="0" w:type="dxa"/>
          <w:start w:w="103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671"/>
        <w:gridCol w:w="2661"/>
      </w:tblGrid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15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1,2</w:t>
            </w:r>
          </w:p>
        </w:tc>
      </w:tr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30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1,4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cs="Times New Roman" w:ascii="Times New Roman" w:hAnsi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142" w:start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в клинике 10 приемов;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Консультация педиатра онлайн — без ограничений;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>педиатра не более 8 приемов всего: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</w:r>
      <w:bookmarkStart w:id="1" w:name="_Hlk40798266"/>
      <w:bookmarkStart w:id="2" w:name="_Hlk40798266"/>
      <w:bookmarkEnd w:id="2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cs="Times New Roman" w:ascii="Times New Roman" w:hAnsi="Times New Roman"/>
          <w:b/>
          <w:bCs/>
          <w:sz w:val="24"/>
          <w:szCs w:val="24"/>
        </w:rPr>
        <w:t>врача</w:t>
      </w:r>
      <w:bookmarkEnd w:id="3"/>
      <w:r>
        <w:rPr>
          <w:rFonts w:cs="Times New Roman" w:ascii="Times New Roman" w:hAnsi="Times New Roman"/>
          <w:b/>
          <w:bCs/>
          <w:sz w:val="24"/>
          <w:szCs w:val="24"/>
        </w:rPr>
        <w:t xml:space="preserve">: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общеклинические (общий анализ крови 3 раза+общий анализ мочи 3 раза);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-биохимические (10 показателей);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</w:t>
      </w:r>
      <w:bookmarkStart w:id="4" w:name="_Hlk40799007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бактериологические 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Микробиологическое (культуральное) исследование мазка из зева на палочку дифтерии; Культуральные исследования на стрептококк группы A; Исследование ректального мазка (фекалий) на колипатогенную группу; Посев на флору и чувствительность к антибиотикам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val="ru-RU"/>
        </w:rPr>
        <w:t>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bookmarkEnd w:id="4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(всего 3 показателя)</w:t>
      </w:r>
      <w:bookmarkStart w:id="5" w:name="_Hlk33517575"/>
      <w:bookmarkEnd w:id="5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-гистологические (по 5 показателей каждого наименования);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-серологические (3 показателя);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-ультразвуковые исследования (3 исследования за период обслуживания);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-рентген, ЭКГ; ЭЭГ — без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sz w:val="24"/>
          <w:szCs w:val="24"/>
        </w:rPr>
      </w:pPr>
      <w:bookmarkStart w:id="6" w:name="_Hlk49345548"/>
      <w:bookmarkEnd w:id="6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 — без ограничений;</w:t>
      </w:r>
      <w:bookmarkStart w:id="7" w:name="_Hlk49345548_Копия_1"/>
      <w:bookmarkEnd w:id="7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Физиотерапевтическое лечение:</w:t>
      </w:r>
      <w:r>
        <w:rPr>
          <w:rFonts w:cs="Times New Roman" w:ascii="Times New Roman" w:hAnsi="Times New Roman"/>
          <w:sz w:val="24"/>
          <w:szCs w:val="24"/>
        </w:rPr>
        <w:t xml:space="preserve"> электролечение, светолечение, теплолечение, лазеротерапия, магнитотерапия, фонофорез - </w:t>
      </w:r>
      <w:bookmarkStart w:id="8" w:name="_Hlk49347174"/>
      <w:r>
        <w:rPr>
          <w:rFonts w:cs="Times New Roman" w:ascii="Times New Roman" w:hAnsi="Times New Roman"/>
          <w:sz w:val="24"/>
          <w:szCs w:val="24"/>
        </w:rPr>
        <w:t>1</w:t>
      </w:r>
      <w:bookmarkEnd w:id="8"/>
      <w:r>
        <w:rPr>
          <w:rFonts w:cs="Times New Roman" w:ascii="Times New Roman" w:hAnsi="Times New Roman"/>
          <w:sz w:val="24"/>
          <w:szCs w:val="24"/>
        </w:rPr>
        <w:t xml:space="preserve"> курс на выбор из 5 сеансов за период годового прикрепления;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Классический лечебный массаж в поликлинике (не более 1 курса из 10 процедур в течение годового прикрепления).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797333"/>
      <w:r>
        <w:rPr>
          <w:rFonts w:cs="Times New Roman" w:ascii="Times New Roman" w:hAnsi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0" w:name="_Hlk40797591"/>
      <w:bookmarkStart w:id="11" w:name="_Hlk40797591_Копия_1"/>
      <w:bookmarkEnd w:id="9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.</w:t>
      </w:r>
      <w:bookmarkEnd w:id="10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2" w:name="_Hlk44340180"/>
      <w:bookmarkStart w:id="13" w:name="_Hlk40797385"/>
      <w:bookmarkEnd w:id="12"/>
      <w:bookmarkEnd w:id="13"/>
    </w:p>
    <w:p>
      <w:pPr>
        <w:pStyle w:val="Normal"/>
        <w:spacing w:lineRule="auto" w:line="240" w:before="0" w:after="0"/>
        <w:ind w:hanging="0"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помощь на дому по острому заболеванию не более 2-х раз</w:t>
      </w:r>
      <w:r>
        <w:rPr>
          <w:rFonts w:cs="Times New Roman" w:ascii="Times New Roman" w:hAnsi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>
      <w:pPr>
        <w:pStyle w:val="Normal"/>
        <w:spacing w:lineRule="auto" w:line="240" w:before="0" w:after="0"/>
        <w:ind w:hanging="0"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4" w:name="_Hlk49263990"/>
      <w:bookmarkEnd w:id="14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59" w:before="0" w:after="160"/>
        <w:ind w:hanging="0" w:start="0" w:end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val="ru-RU"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8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16"/>
        <w:gridCol w:w="2136"/>
        <w:gridCol w:w="2491"/>
        <w:gridCol w:w="2202"/>
      </w:tblGrid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trike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65" w:hRule="atLeast"/>
        </w:trPr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эндокринолог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гинеколог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психиатр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органов брюшной полости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сердца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почек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0" w:after="0"/>
        <w:ind w:hanging="0" w:star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828"/>
        <w:gridCol w:w="5948"/>
      </w:tblGrid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Реакция Манту (Туберкулин) ежегодно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>
      <w:pPr>
        <w:pStyle w:val="Normal"/>
        <w:tabs>
          <w:tab w:val="clear" w:pos="708"/>
          <w:tab w:val="left" w:pos="924" w:leader="none"/>
        </w:tabs>
        <w:spacing w:lineRule="auto" w:line="240" w:before="0" w:after="0"/>
        <w:jc w:val="star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Профилактические прививки проводится только в условиях поликлиники.</w:t>
      </w:r>
    </w:p>
    <w:p>
      <w:pPr>
        <w:pStyle w:val="Normal"/>
        <w:widowControl/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-283" w:end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>
      <w:pPr>
        <w:pStyle w:val="Normal"/>
        <w:widowControl/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-283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>
      <w:pPr>
        <w:pStyle w:val="Normal"/>
        <w:tabs>
          <w:tab w:val="clear" w:pos="708"/>
          <w:tab w:val="left" w:pos="924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СТАНДАРТ» ДЛЯ ДЕТЕЙ В ВОЗРАСТЕ ОТ 3 ДО 7 ЛЕТ: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45613450"/>
      <w:r>
        <w:rPr>
          <w:rFonts w:cs="Times New Roman" w:ascii="Times New Roman" w:hAnsi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5"/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+7(495) 925-88-78, через личный кабинет  на сайте </w:t>
      </w:r>
      <w:hyperlink r:id="rId2">
        <w:r>
          <w:rPr>
            <w:rStyle w:val="Style8"/>
            <w:rFonts w:cs="Times New Roman" w:ascii="Times New Roman" w:hAnsi="Times New Roman"/>
            <w:sz w:val="24"/>
            <w:szCs w:val="24"/>
          </w:rPr>
          <w:t>https://lk.zub.ru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3">
        <w:r>
          <w:rPr>
            <w:rStyle w:val="Style8"/>
            <w:rFonts w:cs="Times New Roman" w:ascii="Times New Roman" w:hAnsi="Times New Roman"/>
            <w:sz w:val="24"/>
            <w:szCs w:val="24"/>
          </w:rPr>
          <w:t>https://polyclinika.ru/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Вызов на дом по заболеванию принимается по телефону: +7(495) 925-88-78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вызовов осуществляется с 9:00 до 21:00.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на дому осуществляется 7 дней в неделю включая праздничные дни.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jc w:val="star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__DdeLink__8341_817890463"/>
      <w:bookmarkEnd w:id="16"/>
      <w:r>
        <w:rPr>
          <w:rFonts w:cs="Times New Roman" w:ascii="Times New Roman" w:hAnsi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5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57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08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08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>
      <w:pPr>
        <w:pStyle w:val="21"/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0"/>
        <w:rPr>
          <w:color w:val="auto"/>
          <w:szCs w:val="24"/>
        </w:rPr>
      </w:pPr>
      <w:r>
        <w:rPr>
          <w:color w:val="auto"/>
          <w:szCs w:val="24"/>
        </w:rPr>
        <w:t xml:space="preserve">- Туберкулинодиагностика (в соответствии с действующим </w:t>
      </w:r>
      <w:r>
        <w:rPr>
          <w:rFonts w:cs="Times New Roman"/>
          <w:color w:val="auto"/>
          <w:szCs w:val="24"/>
          <w:lang w:val="ru-RU"/>
        </w:rPr>
        <w:t>Приказом от «06» декабря 2021 г. № 1122 н</w:t>
      </w:r>
      <w:r>
        <w:rPr>
          <w:color w:val="auto"/>
          <w:szCs w:val="24"/>
        </w:rPr>
        <w:t>), включая оценку результатов проб, проводится только в условиях поликлиники.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>
        <w:rPr>
          <w:color w:val="auto"/>
          <w:szCs w:val="24"/>
        </w:rPr>
        <w:t>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Законный представитель Пациента </w:t>
      </w:r>
      <w:r>
        <w:rPr>
          <w:rStyle w:val="CommentReference"/>
          <w:rFonts w:cs="Times New Roman" w:ascii="Times New Roman" w:hAnsi="Times New Roman"/>
          <w:sz w:val="24"/>
          <w:szCs w:val="24"/>
        </w:rPr>
        <w:t>обязан</w:t>
      </w:r>
      <w:r>
        <w:rPr>
          <w:rFonts w:cs="Times New Roman" w:ascii="Times New Roman" w:hAnsi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фетопатия, нарушение мозгового кровообращения 2-3 степени, родовая травма.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Поликлиника оставляет за собой право ввести повышающий коэффициент в случае                                   </w:t>
      </w:r>
    </w:p>
    <w:p>
      <w:pPr>
        <w:pStyle w:val="ListParagraph"/>
        <w:spacing w:lineRule="auto" w:line="240" w:before="0" w:after="0"/>
        <w:ind w:hanging="0" w:star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пункту указанному в Договоре.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Личный менеджер по сопровождению на весь срок прикрепления 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7" w:name="_Hlk41498491"/>
      <w:bookmarkEnd w:id="17"/>
    </w:p>
    <w:p>
      <w:pPr>
        <w:pStyle w:val="ListParagraph"/>
        <w:numPr>
          <w:ilvl w:val="0"/>
          <w:numId w:val="0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13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Программой не оплачиваются следующие медицинские услуги: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У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;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Следующие заболевания и их последствия не входят в программу обслуживания: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Системные, атрофические, демиелинизирующие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Расстройства сна (включая синдром апное во сне); ронхопатия.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 поражения соединительной ткани (включая ревматические болезни), воспалительные полиартропатии (включая ревматоидный артрит); генерализованный остеоартроз, полиостеоартроз; анкилозирующий спондилит (болезнь Бехтерева).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Глаукома, катаракта, миопия, гиперметропия, астигматизм, заболевания халязиона.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Нейросенсорная тугоухость и другие потери слуха.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Сахарный диабет и его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акариаз.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Туберкулез; саркоидоз; амилоидоз.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Хронические гепатиты, цирроз печени.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являющиеся причиной установления инвалидности.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гиперпролактинэмия, гиперандрогенэмия, поликистоз яичников и т.п.).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Вальгусная и варусная деформация конечностей и суставов; все формы плоскостопия (в том числе с болевым синдромом) без признаков острого артрита и (или) бурсита. деформирующие дорсопатии (кифоз, лордоз, сколиоз, остеохондроз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Все виды инвалидизирующих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>
      <w:pPr>
        <w:pStyle w:val="Normal"/>
        <w:suppressAutoHyphens w:val="true"/>
        <w:spacing w:lineRule="auto" w:line="240" w:before="0" w:after="0"/>
        <w:ind w:hanging="0" w:start="138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Методы диагностики и лечения, относящиеся к традиционной, альтернативной и народной медицине (в том числе гомеопатия, гирудотерапия, фитотерапия, цуботерапия, галотерапия, спелеотерапия);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Молекулярно-генетические исследования; МРТ, КТ, позитронно-эмисионная томография (ПЭТ).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Нормо-, гипер- и гипобарическая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Специфическая иммунотерапия (СИТ), скарификационные пробы</w:t>
      </w:r>
      <w:r>
        <w:rPr>
          <w:rFonts w:eastAsia="Times New Roman" w:cs="Times New Roman" w:ascii="Times New Roman" w:hAnsi="Times New Roman"/>
          <w:strike/>
          <w:sz w:val="24"/>
          <w:szCs w:val="24"/>
          <w:lang w:eastAsia="ar-SA"/>
        </w:rPr>
        <w:t xml:space="preserve">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магнитостимуляция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Стационарозамещающие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Лечебные и диагностические пункции (в т.ч. внутрисуставные), лечебные блокады, удаление полипа, радиоэндоскопическое лечение, плановые малые хирургические операции.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Диспансерное наблюдение;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trike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  том числе аппаратные методы 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Иммунологические исследования; аллерготесты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8" w:name="_Hlk44340467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;</w:t>
      </w:r>
      <w:r>
        <w:rPr>
          <w:rFonts w:cs="Times New Roman" w:ascii="Times New Roman" w:hAnsi="Times New Roman"/>
          <w:sz w:val="24"/>
          <w:szCs w:val="24"/>
        </w:rPr>
        <w:t xml:space="preserve"> анализ кала на углеводы, экспресс-тесты;</w:t>
      </w:r>
      <w:bookmarkEnd w:id="18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9" w:name="_Hlk49354163"/>
      <w:bookmarkEnd w:id="19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20" w:name="_Hlk49268145"/>
      <w:bookmarkEnd w:id="20"/>
    </w:p>
    <w:p>
      <w:pPr>
        <w:pStyle w:val="Normal"/>
        <w:suppressAutoHyphens w:val="true"/>
        <w:spacing w:lineRule="auto" w:line="240" w:before="0" w:after="0"/>
        <w:ind w:hanging="0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9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664" w:hanging="138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80" w:hanging="1380"/>
      </w:pPr>
      <w:rPr>
        <w:rFonts w:ascii="Times New Roman" w:hAnsi="Times New Roman"/>
        <w:b/>
        <w:bCs/>
        <w:i w:val="false"/>
        <w:iCs/>
        <w:strike w:val="false"/>
        <w:dstrike w:val="false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3104" w:hanging="13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824" w:hanging="13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544" w:hanging="13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264" w:hanging="13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04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76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44" w:hanging="1800"/>
      </w:pPr>
      <w:rPr/>
    </w:lvl>
  </w:abstractNum>
  <w:abstractNum w:abstractNumId="5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Title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"/>
    <w:basedOn w:val="DefaultParagraphFont"/>
    <w:uiPriority w:val="20"/>
    <w:qFormat/>
    <w:rsid w:val="006f2708"/>
    <w:rPr>
      <w:i/>
      <w:iCs/>
    </w:rPr>
  </w:style>
  <w:style w:type="character" w:styleId="Strong">
    <w:name w:val="Strong"/>
    <w:basedOn w:val="DefaultParagraphFont"/>
    <w:uiPriority w:val="22"/>
    <w:qFormat/>
    <w:rsid w:val="006f2708"/>
    <w:rPr>
      <w:b/>
      <w:bCs/>
    </w:rPr>
  </w:style>
  <w:style w:type="character" w:styleId="Hyperlink">
    <w:name w:val="Hyperlink"/>
    <w:unhideWhenUsed/>
    <w:qFormat/>
    <w:rsid w:val="0068711e"/>
    <w:rPr>
      <w:color w:val="000080"/>
      <w:u w:val="single"/>
    </w:rPr>
  </w:style>
  <w:style w:type="character" w:styleId="Style14" w:customStyle="1">
    <w:name w:val="Выделение жирным"/>
    <w:qFormat/>
    <w:rPr>
      <w:b/>
      <w:bCs/>
    </w:rPr>
  </w:style>
  <w:style w:type="character" w:styleId="ins" w:customStyle="1">
    <w:name w:val="ins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styleId="Style18" w:customStyle="1">
    <w:name w:val="Тема примечания Знак"/>
    <w:basedOn w:val="Style16"/>
    <w:uiPriority w:val="99"/>
    <w:semiHidden/>
    <w:qFormat/>
    <w:rsid w:val="0082160d"/>
    <w:rPr>
      <w:b/>
      <w:bCs/>
      <w:szCs w:val="20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09711c"/>
    <w:pPr>
      <w:spacing w:before="0" w:after="160"/>
      <w:ind w:hanging="0"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27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!Ïîäïèñü"/>
    <w:basedOn w:val="Normal"/>
    <w:qFormat/>
    <w:rsid w:val="00880b73"/>
    <w:pPr>
      <w:overflowPunct w:val="false"/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0"/>
      <w:lang w:val="en-US" w:eastAsia="ru-RU"/>
    </w:rPr>
  </w:style>
  <w:style w:type="paragraph" w:styleId="Style22" w:customStyle="1">
    <w:name w:val="Нормальный (таблица)"/>
    <w:basedOn w:val="Normal"/>
    <w:next w:val="Normal"/>
    <w:uiPriority w:val="99"/>
    <w:qFormat/>
    <w:rsid w:val="00880b73"/>
    <w:pPr>
      <w:widowControl w:val="false"/>
      <w:spacing w:lineRule="auto" w:line="240" w:before="0" w:after="0"/>
      <w:jc w:val="both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user2" w:customStyle="1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c838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82160d"/>
    <w:pPr/>
    <w:rPr>
      <w:b/>
      <w:bCs/>
    </w:rPr>
  </w:style>
  <w:style w:type="paragraph" w:styleId="21" w:customStyle="1">
    <w:name w:val="Основной текст 21"/>
    <w:basedOn w:val="Normal"/>
    <w:qFormat/>
    <w:rsid w:val="004c6284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0"/>
      <w:lang w:eastAsia="ru-RU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39"/>
    <w:rsid w:val="006f27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zub.ru/" TargetMode="External"/><Relationship Id="rId3" Type="http://schemas.openxmlformats.org/officeDocument/2006/relationships/hyperlink" Target="https://polyclinika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Application>LibreOffice/25.8.7.2$Windows_X86_64 LibreOffice_project/e9cfafff50477fae0fcf42925ebd2aec2bdc5df4</Application>
  <AppVersion>15.0000</AppVersion>
  <Pages>8</Pages>
  <Words>2547</Words>
  <Characters>19113</Characters>
  <CharactersWithSpaces>21455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2020-03-05T14:37:00Z</dcterms:created>
  <dc:creator>Подгорная Ольга Николаевна</dc:creator>
  <dc:description/>
  <dc:language>ru-RU</dc:language>
  <cp:lastModifiedBy/>
  <dcterms:modified xsi:type="dcterms:W3CDTF">2026-07-03T11:27:42Z</dcterms:modified>
  <cp:revision>164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