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A9E4" w14:textId="77777777" w:rsidR="00A20FB4" w:rsidRDefault="00FD2479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  <w:r w:rsidRPr="00FD2479">
        <w:rPr>
          <w:rFonts w:ascii="Times New Roman" w:hAnsi="Times New Roman" w:cs="Times New Roman"/>
          <w:sz w:val="24"/>
          <w:szCs w:val="24"/>
        </w:rPr>
        <w:t>1</w:t>
      </w:r>
    </w:p>
    <w:p w14:paraId="2CF53D9C" w14:textId="77777777" w:rsidR="00A20FB4" w:rsidRDefault="00FD2479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574962D6" w14:textId="77777777" w:rsidR="00A20FB4" w:rsidRDefault="00A20FB4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5618B6D" w14:textId="77777777" w:rsidR="00A20FB4" w:rsidRDefault="00A20FB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2EACB6" w14:textId="77777777" w:rsidR="00A20FB4" w:rsidRDefault="00FD247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МЕДИЦИНСКОГО ОБСЛУЖИВАНИЯ</w:t>
      </w:r>
    </w:p>
    <w:p w14:paraId="6BA4B355" w14:textId="77777777" w:rsidR="00A20FB4" w:rsidRDefault="00FD2479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 ЛАЙТ»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10 лет)</w:t>
      </w:r>
    </w:p>
    <w:p w14:paraId="2880AF67" w14:textId="77777777" w:rsidR="00A20FB4" w:rsidRDefault="00A20FB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D5CF11" w14:textId="77777777" w:rsidR="00A20FB4" w:rsidRDefault="00FD247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35000 рублей</w:t>
      </w:r>
    </w:p>
    <w:p w14:paraId="0475B86A" w14:textId="77777777" w:rsidR="00A20FB4" w:rsidRDefault="00A20FB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306A17" w14:textId="77777777" w:rsidR="00A20FB4" w:rsidRDefault="00FD2479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362B4F1" w14:textId="77777777" w:rsidR="00A20FB4" w:rsidRDefault="00FD2479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CC4716B" w14:textId="77777777" w:rsidR="00A20FB4" w:rsidRDefault="00A20FB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1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1"/>
        <w:gridCol w:w="2664"/>
      </w:tblGrid>
      <w:tr w:rsidR="00A20FB4" w14:paraId="5A79403E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FF6FA" w14:textId="77777777" w:rsidR="00A20FB4" w:rsidRDefault="00FD24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BE3E" w14:textId="77777777" w:rsidR="00A20FB4" w:rsidRDefault="00FD24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A20FB4" w14:paraId="3B9C9CAA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5DC4" w14:textId="77777777" w:rsidR="00A20FB4" w:rsidRDefault="00FD24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20D7" w14:textId="77777777" w:rsidR="00A20FB4" w:rsidRDefault="00FD247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2330752" w14:textId="77777777" w:rsidR="00A20FB4" w:rsidRDefault="00A20FB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AAC74EE" w14:textId="77777777" w:rsidR="00A20FB4" w:rsidRDefault="00FD2479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10 лет</w:t>
      </w:r>
    </w:p>
    <w:p w14:paraId="450ECBBE" w14:textId="77777777" w:rsidR="00A20FB4" w:rsidRDefault="00FD247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хронических заболеваний в объеме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63AB1D8D" w14:textId="77777777" w:rsidR="00A20FB4" w:rsidRDefault="00A20F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9988C8" w14:textId="77777777" w:rsidR="00A20FB4" w:rsidRPr="00FD2479" w:rsidRDefault="00FD2479">
      <w:pPr>
        <w:pStyle w:val="af2"/>
        <w:widowControl w:val="0"/>
        <w:numPr>
          <w:ilvl w:val="0"/>
          <w:numId w:val="3"/>
        </w:numPr>
        <w:ind w:left="142" w:hanging="142"/>
        <w:jc w:val="center"/>
        <w:rPr>
          <w:lang w:val="ru-RU"/>
        </w:rPr>
      </w:pPr>
      <w:r>
        <w:rPr>
          <w:sz w:val="22"/>
          <w:szCs w:val="22"/>
          <w:lang w:val="ru-RU"/>
        </w:rPr>
        <w:t>АМБУЛАТОРНО-ПОЛИКЛИНИЧЕСКАЯ ПОМОЩЬ В ПОЛИКЛИНИКЕ ОКАЗЫВАЕТСЯ ТОЛЬКО ПО НАЗНАЧЕНИЮ ВРАЧА</w:t>
      </w:r>
      <w:r>
        <w:rPr>
          <w:szCs w:val="24"/>
          <w:lang w:val="ru-RU"/>
        </w:rPr>
        <w:t>:</w:t>
      </w:r>
    </w:p>
    <w:p w14:paraId="3B214356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</w:t>
      </w:r>
      <w:r>
        <w:rPr>
          <w:rFonts w:ascii="Times New Roman" w:hAnsi="Times New Roman" w:cs="Times New Roman"/>
          <w:b/>
          <w:bCs/>
          <w:sz w:val="24"/>
          <w:szCs w:val="24"/>
        </w:rPr>
        <w:t>педиатра (без ограничений за период обслуживания по программе)</w:t>
      </w:r>
    </w:p>
    <w:p w14:paraId="06211C8D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(до 6 консультаций за период прикрепления)</w:t>
      </w:r>
      <w:bookmarkStart w:id="0" w:name="_Hlk41416103"/>
      <w:bookmarkEnd w:id="0"/>
    </w:p>
    <w:p w14:paraId="3F510CB0" w14:textId="77777777" w:rsidR="00A20FB4" w:rsidRDefault="00FD247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нефролог,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(1 </w:t>
      </w:r>
      <w:r>
        <w:rPr>
          <w:rFonts w:ascii="Times New Roman" w:hAnsi="Times New Roman" w:cs="Times New Roman"/>
          <w:kern w:val="2"/>
          <w:sz w:val="24"/>
          <w:szCs w:val="24"/>
        </w:rPr>
        <w:t>консультация за период прикрепления);</w:t>
      </w:r>
      <w:bookmarkStart w:id="1" w:name="_Hlk40798266"/>
      <w:bookmarkEnd w:id="1"/>
    </w:p>
    <w:p w14:paraId="23609002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"/>
      <w:r>
        <w:rPr>
          <w:rFonts w:ascii="Times New Roman" w:hAnsi="Times New Roman" w:cs="Times New Roman"/>
          <w:b/>
          <w:bCs/>
          <w:sz w:val="24"/>
          <w:szCs w:val="24"/>
        </w:rPr>
        <w:t>врача (до 4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общеклинические (общий анализ крови, общий анализ мочи)</w:t>
      </w:r>
    </w:p>
    <w:p w14:paraId="4A816EEC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 (по 1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дованию каждого вида УЗИ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УЗИ брюшной полости, УЗИ почек; </w:t>
      </w:r>
      <w:r>
        <w:rPr>
          <w:rFonts w:ascii="Times New Roman" w:hAnsi="Times New Roman" w:cs="Times New Roman"/>
          <w:b/>
          <w:sz w:val="24"/>
          <w:szCs w:val="24"/>
        </w:rPr>
        <w:t>Рентген (1 исследование за период прикрепления по направлению врача)</w:t>
      </w:r>
    </w:p>
    <w:p w14:paraId="62893789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bookmarkStart w:id="3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4" w:name="_Hlk40797591"/>
      <w:bookmarkEnd w:id="3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</w:t>
      </w:r>
      <w:r>
        <w:rPr>
          <w:rFonts w:ascii="Times New Roman" w:hAnsi="Times New Roman" w:cs="Times New Roman"/>
          <w:sz w:val="24"/>
          <w:szCs w:val="24"/>
        </w:rPr>
        <w:t xml:space="preserve">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карты Пациента для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(ф. № 026/у) без анализов и обследований включает оформление справки),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</w:t>
      </w:r>
      <w:r>
        <w:rPr>
          <w:rFonts w:ascii="Times New Roman" w:hAnsi="Times New Roman" w:cs="Times New Roman"/>
          <w:sz w:val="24"/>
          <w:szCs w:val="24"/>
        </w:rPr>
        <w:t>ез анализов и обследований, , оформление рецептов (кроме льготных).</w:t>
      </w:r>
      <w:bookmarkEnd w:id="4"/>
    </w:p>
    <w:p w14:paraId="452480E0" w14:textId="77777777" w:rsidR="00A20FB4" w:rsidRDefault="00A2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0DFC1" w14:textId="77777777" w:rsidR="00A20FB4" w:rsidRDefault="00A2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1"/>
      <w:bookmarkEnd w:id="5"/>
    </w:p>
    <w:p w14:paraId="1944A271" w14:textId="77777777" w:rsidR="00A20FB4" w:rsidRPr="00FD2479" w:rsidRDefault="00FD2479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ПОМОЩЬ НА ДОМУ ПО ОСТРОМУ ЗАБОЛЕВАНИЮ:</w:t>
      </w:r>
      <w:bookmarkStart w:id="6" w:name="_Hlk40797385"/>
      <w:bookmarkStart w:id="7" w:name="_Hlk44340180"/>
      <w:bookmarkEnd w:id="6"/>
      <w:bookmarkEnd w:id="7"/>
    </w:p>
    <w:p w14:paraId="79188CC8" w14:textId="77777777" w:rsidR="00A20FB4" w:rsidRDefault="00FD247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помощь на дому по острому заболеванию не более 1-го раза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</w:t>
      </w:r>
      <w:r>
        <w:rPr>
          <w:rFonts w:ascii="Times New Roman" w:hAnsi="Times New Roman" w:cs="Times New Roman"/>
          <w:sz w:val="24"/>
          <w:szCs w:val="24"/>
        </w:rPr>
        <w:t>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</w:t>
      </w:r>
      <w:r>
        <w:rPr>
          <w:rFonts w:ascii="Times New Roman" w:hAnsi="Times New Roman" w:cs="Times New Roman"/>
          <w:sz w:val="24"/>
          <w:szCs w:val="24"/>
        </w:rPr>
        <w:t xml:space="preserve">ние за пределами МКАД. </w:t>
      </w:r>
    </w:p>
    <w:p w14:paraId="3DDDDCA7" w14:textId="77777777" w:rsidR="00A20FB4" w:rsidRDefault="00FD247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"/>
      <w:bookmarkEnd w:id="8"/>
    </w:p>
    <w:p w14:paraId="0366C039" w14:textId="77777777" w:rsidR="00A20FB4" w:rsidRDefault="00A20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7E8FE1C" w14:textId="77777777" w:rsidR="00A20FB4" w:rsidRPr="00FD2479" w:rsidRDefault="00FD2479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 ЛАЙТ» ДЛЯ ДЕТЕЙ В ВОЗРАСТЕ ОТ 1 ДО 10 ЛЕТ:</w:t>
      </w:r>
    </w:p>
    <w:p w14:paraId="606942E0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</w:t>
      </w:r>
      <w:r>
        <w:rPr>
          <w:rFonts w:ascii="Times New Roman" w:hAnsi="Times New Roman" w:cs="Times New Roman"/>
          <w:sz w:val="24"/>
          <w:szCs w:val="24"/>
        </w:rPr>
        <w:t>Исполнителем оказывается в соответствии с Правилами внутреннего распорядка и фактическими возможностями клиники.</w:t>
      </w:r>
    </w:p>
    <w:p w14:paraId="413768E3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21.11.2011 N 323-ФЗ прием врача и </w:t>
      </w:r>
      <w:r>
        <w:rPr>
          <w:rFonts w:ascii="Times New Roman" w:hAnsi="Times New Roman" w:cs="Times New Roman"/>
          <w:sz w:val="24"/>
          <w:szCs w:val="24"/>
        </w:rPr>
        <w:t>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9"/>
    </w:p>
    <w:p w14:paraId="05BF9A52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</w:t>
      </w:r>
      <w:r>
        <w:rPr>
          <w:rFonts w:ascii="Times New Roman" w:hAnsi="Times New Roman" w:cs="Times New Roman"/>
          <w:sz w:val="24"/>
          <w:szCs w:val="24"/>
        </w:rPr>
        <w:t>ез выходных.</w:t>
      </w:r>
    </w:p>
    <w:p w14:paraId="228FE4B4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0545879D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Запись на прием к врачу в клинику осуществляется через круглосут</w:t>
      </w:r>
      <w:r>
        <w:rPr>
          <w:rFonts w:ascii="Times New Roman" w:hAnsi="Times New Roman" w:cs="Times New Roman"/>
          <w:sz w:val="24"/>
          <w:szCs w:val="24"/>
        </w:rPr>
        <w:t xml:space="preserve">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</w:t>
        </w:r>
        <w:r>
          <w:rPr>
            <w:rStyle w:val="ListLabel130"/>
          </w:rPr>
          <w:t>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704AAE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09EDDB58" w14:textId="77777777" w:rsidR="00A20FB4" w:rsidRDefault="00FD247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5046230" w14:textId="77777777" w:rsidR="00A20FB4" w:rsidRDefault="00FD247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после 14:00 осуществляются на следу</w:t>
      </w:r>
      <w:r>
        <w:rPr>
          <w:rFonts w:ascii="Times New Roman" w:hAnsi="Times New Roman" w:cs="Times New Roman"/>
          <w:sz w:val="24"/>
          <w:szCs w:val="24"/>
        </w:rPr>
        <w:t xml:space="preserve">ющий день. </w:t>
      </w:r>
    </w:p>
    <w:p w14:paraId="14378D27" w14:textId="77777777" w:rsidR="00A20FB4" w:rsidRDefault="00FD247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322ED01C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48F28BD3" w14:textId="77777777" w:rsidR="00A20FB4" w:rsidRDefault="00FD2479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 xml:space="preserve">Медицинская помощь на дому оказывается по фактическому </w:t>
      </w:r>
      <w:r>
        <w:rPr>
          <w:color w:val="auto"/>
          <w:szCs w:val="24"/>
        </w:rPr>
        <w:t>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BEB0CB3" w14:textId="77777777" w:rsidR="00A20FB4" w:rsidRDefault="00FD2479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2352E9D9" w14:textId="77777777" w:rsidR="00A20FB4" w:rsidRDefault="00FD2479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</w:t>
      </w:r>
      <w:r>
        <w:rPr>
          <w:rFonts w:ascii="Times New Roman" w:hAnsi="Times New Roman" w:cs="Times New Roman"/>
          <w:sz w:val="24"/>
          <w:szCs w:val="24"/>
        </w:rPr>
        <w:t>ием в поликлинику, более чем на 50% времени приема Пациент будет принят при первой возможности.</w:t>
      </w:r>
    </w:p>
    <w:p w14:paraId="3EE1F3DD" w14:textId="77777777" w:rsidR="00A20FB4" w:rsidRDefault="00FD2479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</w:t>
      </w:r>
      <w:r>
        <w:rPr>
          <w:color w:val="auto"/>
          <w:szCs w:val="24"/>
        </w:rPr>
        <w:t>ли менеджеру по сопровождению.</w:t>
      </w:r>
    </w:p>
    <w:p w14:paraId="7D552A71" w14:textId="77777777" w:rsidR="00A20FB4" w:rsidRDefault="00FD2479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74A23FE" w14:textId="77777777" w:rsidR="00A20FB4" w:rsidRDefault="00FD2479">
      <w:pPr>
        <w:pStyle w:val="af0"/>
        <w:numPr>
          <w:ilvl w:val="0"/>
          <w:numId w:val="4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Внеплановая помощь при наличии экстренных и неотложных медицинских показаний при обращении в Поликлинику </w:t>
      </w:r>
      <w:r>
        <w:rPr>
          <w:rFonts w:ascii="Times New Roman" w:hAnsi="Times New Roman" w:cs="Times New Roman"/>
          <w:sz w:val="24"/>
          <w:szCs w:val="24"/>
        </w:rPr>
        <w:t>оказывается по факту обращения.</w:t>
      </w:r>
    </w:p>
    <w:p w14:paraId="02539354" w14:textId="77777777" w:rsidR="00A20FB4" w:rsidRDefault="00FD2479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B47BF00" w14:textId="77777777" w:rsidR="00A20FB4" w:rsidRDefault="00FD2479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</w:t>
      </w:r>
      <w:r>
        <w:rPr>
          <w:color w:val="auto"/>
          <w:szCs w:val="24"/>
        </w:rPr>
        <w:t xml:space="preserve"> (в части исполнения диагностических и </w:t>
      </w:r>
      <w:r>
        <w:rPr>
          <w:color w:val="auto"/>
          <w:szCs w:val="24"/>
        </w:rPr>
        <w:lastRenderedPageBreak/>
        <w:t>лечебных мероприятий, процедур и манипуляций, назначенных врачом и врачами-консультантами).</w:t>
      </w:r>
    </w:p>
    <w:p w14:paraId="6A7759C3" w14:textId="77777777" w:rsidR="00A20FB4" w:rsidRDefault="00FD2479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</w:t>
      </w:r>
      <w:r>
        <w:rPr>
          <w:rFonts w:ascii="Times New Roman" w:hAnsi="Times New Roman" w:cs="Times New Roman"/>
          <w:sz w:val="24"/>
          <w:szCs w:val="24"/>
        </w:rPr>
        <w:t xml:space="preserve"> состоянии здоровья Пациента.</w:t>
      </w:r>
    </w:p>
    <w:p w14:paraId="7FBB7ADB" w14:textId="77777777" w:rsidR="00A20FB4" w:rsidRDefault="00FD2479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6652EC6" w14:textId="77777777" w:rsidR="00A20FB4" w:rsidRDefault="00FD247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2C04EA8" w14:textId="77777777" w:rsidR="00A20FB4" w:rsidRDefault="00FD247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</w:t>
      </w:r>
      <w:r>
        <w:rPr>
          <w:rFonts w:ascii="Times New Roman" w:hAnsi="Times New Roman" w:cs="Times New Roman"/>
          <w:sz w:val="24"/>
          <w:szCs w:val="24"/>
        </w:rPr>
        <w:t xml:space="preserve">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</w:t>
      </w:r>
      <w:r>
        <w:rPr>
          <w:rFonts w:ascii="Times New Roman" w:hAnsi="Times New Roman" w:cs="Times New Roman"/>
          <w:sz w:val="24"/>
          <w:szCs w:val="24"/>
        </w:rPr>
        <w:t xml:space="preserve"> кровообращения 2-3 степени, родовая травма.</w:t>
      </w:r>
    </w:p>
    <w:p w14:paraId="269625A6" w14:textId="77777777" w:rsidR="00A20FB4" w:rsidRDefault="00FD247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92F27FF" w14:textId="77777777" w:rsidR="00A20FB4" w:rsidRDefault="00FD247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11E588C" w14:textId="77777777" w:rsidR="00A20FB4" w:rsidRDefault="00FD2479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</w:t>
      </w:r>
      <w:r>
        <w:rPr>
          <w:rFonts w:ascii="Times New Roman" w:hAnsi="Times New Roman" w:cs="Times New Roman"/>
          <w:sz w:val="24"/>
          <w:szCs w:val="24"/>
        </w:rPr>
        <w:t xml:space="preserve"> собой право ввести повышающий коэффициент в случае                                   </w:t>
      </w:r>
    </w:p>
    <w:p w14:paraId="1437D6D1" w14:textId="77777777" w:rsidR="00A20FB4" w:rsidRDefault="00FD2479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</w:t>
      </w:r>
      <w:r>
        <w:rPr>
          <w:rFonts w:ascii="Times New Roman" w:hAnsi="Times New Roman" w:cs="Times New Roman"/>
          <w:sz w:val="24"/>
          <w:szCs w:val="24"/>
        </w:rPr>
        <w:t>данному заболеванию в рамках действующего Договора.</w:t>
      </w:r>
    </w:p>
    <w:p w14:paraId="3D38CF3E" w14:textId="77777777" w:rsidR="00A20FB4" w:rsidRDefault="00FD2479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</w:t>
      </w:r>
      <w:r>
        <w:rPr>
          <w:rFonts w:ascii="Times New Roman" w:hAnsi="Times New Roman" w:cs="Times New Roman"/>
          <w:sz w:val="24"/>
          <w:szCs w:val="24"/>
        </w:rPr>
        <w:t>гласно пункту, указанному в Договоре.</w:t>
      </w:r>
    </w:p>
    <w:p w14:paraId="477343A8" w14:textId="77777777" w:rsidR="00A20FB4" w:rsidRDefault="00A20F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F75E79" w14:textId="77777777" w:rsidR="00A20FB4" w:rsidRPr="00FD2479" w:rsidRDefault="00FD2479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>
        <w:rPr>
          <w:szCs w:val="24"/>
          <w:lang w:val="ru-RU"/>
        </w:rPr>
        <w:t>ДОПОЛНИТЕЛЬНЫЕ СЕРВИСНЫЕ УСЛУГИ, ВХОДЯЩИЕ В ПРОГРАММУ МЕДИЦИНСКОГО ОБСЛУЖИВАНИЯ:</w:t>
      </w:r>
    </w:p>
    <w:p w14:paraId="4BF004A6" w14:textId="77777777" w:rsidR="00A20FB4" w:rsidRDefault="00FD2479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 </w:t>
      </w:r>
    </w:p>
    <w:p w14:paraId="51EF3317" w14:textId="77777777" w:rsidR="00A20FB4" w:rsidRDefault="00FD2479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</w:t>
      </w:r>
      <w:bookmarkStart w:id="11" w:name="_Hlk41498491"/>
      <w:bookmarkEnd w:id="11"/>
    </w:p>
    <w:p w14:paraId="6087CA93" w14:textId="77777777" w:rsidR="00A20FB4" w:rsidRDefault="00FD2479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2" w:name="_Hlk44340432"/>
      <w:bookmarkEnd w:id="12"/>
    </w:p>
    <w:p w14:paraId="547365B5" w14:textId="77777777" w:rsidR="00A20FB4" w:rsidRDefault="00A20FB4">
      <w:pPr>
        <w:widowControl w:val="0"/>
        <w:tabs>
          <w:tab w:val="left" w:pos="360"/>
          <w:tab w:val="left" w:pos="12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11B7B4" w14:textId="77777777" w:rsidR="00A20FB4" w:rsidRDefault="00FD2479">
      <w:pPr>
        <w:pStyle w:val="af0"/>
        <w:numPr>
          <w:ilvl w:val="0"/>
          <w:numId w:val="3"/>
        </w:num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44C16442" w14:textId="77777777" w:rsidR="00A20FB4" w:rsidRDefault="00FD2479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ются.</w:t>
      </w:r>
    </w:p>
    <w:p w14:paraId="4A301915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323F240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слуги, не предусмотренные программой и лечебно-диагностическими возможностями лечебных учреждений</w:t>
      </w:r>
    </w:p>
    <w:p w14:paraId="3B56F65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1236405B" w14:textId="77777777" w:rsidR="00A20FB4" w:rsidRDefault="00A20FB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</w:pPr>
    </w:p>
    <w:p w14:paraId="464F8C1F" w14:textId="77777777" w:rsidR="00A20FB4" w:rsidRDefault="00FD2479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74BF496A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697064A3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17D1A83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613022FF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EBB6DA0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4769568F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F2A9812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018C881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проявляющиеся синдромом приобретенного иммунодефицита (СПИД).</w:t>
      </w:r>
    </w:p>
    <w:p w14:paraId="21D0A7CD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CC21A05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Глаукома, катаракта, миопия, гиперметропия, астигматизм, заболеван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D6D14A6" w14:textId="77777777" w:rsidR="00A20FB4" w:rsidRDefault="00FD2479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7CBDEE2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тугоухость и другие потери слуха.</w:t>
      </w:r>
    </w:p>
    <w:p w14:paraId="1D675EA9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коронарное шунтирование, подключение искусственного водителя ритма и их осложнения.</w:t>
      </w:r>
    </w:p>
    <w:p w14:paraId="21A74E4A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A733F02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экзема, нейродермит, атопический дерматит, псориаз, аллопеция, угревая сыпь, себорея, ксероз,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244E634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48400E64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5C74E054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ACED3BB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оследствия воздействия ионизирующих излучений (острая и хроническая лучевая болезнь).</w:t>
      </w:r>
    </w:p>
    <w:p w14:paraId="3B9D5EE9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1F4EF068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32697E81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Динамическо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1426E199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питания (в том числе ожирение); нарушения обмена веществ; подагра, наблюдение при хронической железодефицитной анемии.</w:t>
      </w:r>
    </w:p>
    <w:p w14:paraId="32A9700B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293C1816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0174BF6A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ях профильных ЛПУ;</w:t>
      </w:r>
    </w:p>
    <w:p w14:paraId="76DFFA8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099C0A82" w14:textId="77777777" w:rsidR="00A20FB4" w:rsidRDefault="00A20F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24BD20D" w14:textId="77777777" w:rsidR="00A20FB4" w:rsidRDefault="00FD2479">
      <w:pPr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едицинские услуги и расходные материалы:</w:t>
      </w:r>
    </w:p>
    <w:p w14:paraId="71C618BB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57AFC03C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в оздоровительных,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профилактических целях (кроме услуг, указанных в разделах 1,2,3); динамическое наблюдение (в том числе в стоматологии).</w:t>
      </w:r>
    </w:p>
    <w:p w14:paraId="0C6E92D8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0904222B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психолога, приемы психиатра, сердечно-сосудистого хирурга, ревматолога, пульмонолога, нефролога, логопеда.</w:t>
      </w:r>
    </w:p>
    <w:p w14:paraId="7E9F79D9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7127CC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B4AD828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715350E4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олновая терапия.</w:t>
      </w:r>
    </w:p>
    <w:p w14:paraId="24533D48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2862AFC6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CFE16B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6ABB72BA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ционар на дому); реабилитационно-восстановительное лечение.</w:t>
      </w:r>
    </w:p>
    <w:p w14:paraId="342D4594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иста с проведением услуг.</w:t>
      </w:r>
    </w:p>
    <w:p w14:paraId="47D309D8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062D7D76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A32D11D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Курсовые врачебные манипуляции и процед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A8D16AF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гормональные и другие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(кроме указанных в п.1.2. Программы), анализ кала на дисбактериоз</w:t>
      </w:r>
      <w:bookmarkStart w:id="13" w:name="_Hlk443404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3"/>
    </w:p>
    <w:p w14:paraId="01AC068E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новой вакцинации, предусмотренной Программой, экстренной профилактики столбняка и бешенства).</w:t>
      </w:r>
    </w:p>
    <w:p w14:paraId="3F8413EF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экспертизы; услуги, связанные с оформлением санаторно-курортных карт.</w:t>
      </w:r>
    </w:p>
    <w:p w14:paraId="48FD80F5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40490C46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ении.</w:t>
      </w:r>
    </w:p>
    <w:p w14:paraId="4D68A807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43030323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справок без медицинских показаний, 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163"/>
      <w:bookmarkEnd w:id="14"/>
    </w:p>
    <w:p w14:paraId="659C3373" w14:textId="77777777" w:rsidR="00A20FB4" w:rsidRDefault="00FD2479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5" w:name="_Hlk49268145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97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A20FB4" w14:paraId="4AA12A37" w14:textId="77777777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6EA589" w14:textId="77777777" w:rsidR="00A20FB4" w:rsidRDefault="00FD2479">
            <w:r>
              <w:rPr>
                <w:rFonts w:cs="Times New Roman"/>
                <w:sz w:val="18"/>
                <w:szCs w:val="18"/>
              </w:rPr>
              <w:t>Исполнитель:</w:t>
            </w:r>
          </w:p>
          <w:p w14:paraId="13D13BAF" w14:textId="77777777" w:rsidR="00A20FB4" w:rsidRDefault="00A2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B63EA" w14:textId="77777777" w:rsidR="00A20FB4" w:rsidRDefault="00FD2479">
            <w:r>
              <w:rPr>
                <w:rFonts w:cs="Times New Roman"/>
                <w:sz w:val="18"/>
                <w:szCs w:val="18"/>
              </w:rPr>
              <w:t>_____________________</w:t>
            </w:r>
            <w:r w:rsidRPr="00FD247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О.А.</w:t>
            </w:r>
          </w:p>
          <w:p w14:paraId="4D6502D1" w14:textId="77777777" w:rsidR="00A20FB4" w:rsidRDefault="00FD2479">
            <w:pPr>
              <w:rPr>
                <w:color w:val="CE181E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9DA9A" w14:textId="77777777" w:rsidR="00A20FB4" w:rsidRDefault="00FD2479">
            <w:r>
              <w:rPr>
                <w:rFonts w:cs="Times New Roman"/>
                <w:sz w:val="18"/>
                <w:szCs w:val="18"/>
              </w:rPr>
              <w:t>Пациент:</w:t>
            </w:r>
          </w:p>
          <w:p w14:paraId="5BB41525" w14:textId="77777777" w:rsidR="00A20FB4" w:rsidRDefault="00A2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C060F" w14:textId="77777777" w:rsidR="00A20FB4" w:rsidRDefault="00FD2479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3DD65BC" w14:textId="77777777" w:rsidR="00A20FB4" w:rsidRDefault="00A20FB4">
      <w:pPr>
        <w:spacing w:after="0" w:line="240" w:lineRule="auto"/>
      </w:pPr>
    </w:p>
    <w:sectPr w:rsidR="00A20FB4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F08"/>
    <w:multiLevelType w:val="multilevel"/>
    <w:tmpl w:val="7EE213E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515A3D12"/>
    <w:multiLevelType w:val="multilevel"/>
    <w:tmpl w:val="4992BB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092887"/>
    <w:multiLevelType w:val="multilevel"/>
    <w:tmpl w:val="DD36D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45A7527"/>
    <w:multiLevelType w:val="multilevel"/>
    <w:tmpl w:val="66D2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4"/>
    <w:rsid w:val="00A20FB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E160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b/>
      <w:bCs/>
      <w:i w:val="0"/>
      <w:iCs/>
      <w:strike w:val="0"/>
      <w:dstrike w:val="0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3">
    <w:name w:val="ListLabel 133"/>
    <w:qFormat/>
    <w:rPr>
      <w:rFonts w:ascii="Times New Roman" w:hAnsi="Times New Roman" w:cs="Wingdings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4"/>
      <w:szCs w:val="24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5">
    <w:name w:val="ListLabel 145"/>
    <w:qFormat/>
    <w:rPr>
      <w:rFonts w:ascii="Times New Roman" w:hAnsi="Times New Roman" w:cs="Wingdings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7">
    <w:name w:val="ListLabel 157"/>
    <w:qFormat/>
    <w:rPr>
      <w:rFonts w:ascii="Times New Roman" w:hAnsi="Times New Roman"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Times New Roman"/>
      <w:sz w:val="22"/>
      <w:szCs w:val="22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bCs/>
      <w:i w:val="0"/>
      <w:iCs/>
      <w:strike w:val="0"/>
      <w:dstrike w:val="0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Times New Roman" w:hAnsi="Times New Roman" w:cs="Times New Roman"/>
      <w:sz w:val="24"/>
      <w:szCs w:val="24"/>
    </w:rPr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2574</Words>
  <Characters>14674</Characters>
  <Application>Microsoft Office Word</Application>
  <DocSecurity>0</DocSecurity>
  <Lines>122</Lines>
  <Paragraphs>34</Paragraphs>
  <ScaleCrop>false</ScaleCrop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2023-05-26T16:54:00Z</cp:lastPrinted>
  <dcterms:created xsi:type="dcterms:W3CDTF">2024-09-18T14:28:00Z</dcterms:created>
  <dcterms:modified xsi:type="dcterms:W3CDTF">2024-09-18T14:28:00Z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