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4EE0C091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</w:t>
      </w:r>
      <w:r w:rsidR="00DB3D39">
        <w:rPr>
          <w:rFonts w:cs="Times New Roman"/>
          <w:b/>
          <w:bCs/>
          <w:lang w:val="ru-RU"/>
        </w:rPr>
        <w:t>Премьер</w:t>
      </w:r>
      <w:r w:rsidRPr="00DC4CFC">
        <w:rPr>
          <w:rFonts w:cs="Times New Roman"/>
          <w:b/>
          <w:bCs/>
          <w:lang w:val="ru-RU"/>
        </w:rPr>
        <w:t xml:space="preserve"> от </w:t>
      </w:r>
      <w:r w:rsidR="009F3D7C">
        <w:rPr>
          <w:rFonts w:cs="Times New Roman"/>
          <w:b/>
          <w:bCs/>
          <w:lang w:val="ru-RU"/>
        </w:rPr>
        <w:t xml:space="preserve">1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9F3D7C">
        <w:rPr>
          <w:rFonts w:cs="Times New Roman"/>
          <w:b/>
          <w:bCs/>
          <w:lang w:val="ru-RU"/>
        </w:rPr>
        <w:t>3 лет</w:t>
      </w:r>
      <w:r w:rsidRPr="00DC4CFC">
        <w:rPr>
          <w:rFonts w:cs="Times New Roman"/>
          <w:b/>
          <w:bCs/>
          <w:lang w:val="ru-RU"/>
        </w:rPr>
        <w:t xml:space="preserve"> в пределах </w:t>
      </w:r>
      <w:r w:rsidR="00294A00">
        <w:rPr>
          <w:rFonts w:cs="Times New Roman"/>
          <w:b/>
          <w:bCs/>
          <w:lang w:val="ru-RU"/>
        </w:rPr>
        <w:t>3</w:t>
      </w:r>
      <w:r w:rsidR="00AA73F4">
        <w:rPr>
          <w:rFonts w:cs="Times New Roman"/>
          <w:b/>
          <w:bCs/>
          <w:lang w:val="ru-RU"/>
        </w:rPr>
        <w:t xml:space="preserve">0 км от </w:t>
      </w:r>
      <w:r w:rsidRPr="00DC4CFC">
        <w:rPr>
          <w:rFonts w:cs="Times New Roman"/>
          <w:b/>
          <w:bCs/>
          <w:lang w:val="ru-RU"/>
        </w:rPr>
        <w:t>МКАД</w:t>
      </w:r>
    </w:p>
    <w:p w14:paraId="4CC72E18" w14:textId="2C577BEF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DB3D39">
        <w:rPr>
          <w:rFonts w:cs="Times New Roman"/>
          <w:b/>
          <w:bCs/>
          <w:lang w:val="ru-RU"/>
        </w:rPr>
        <w:t>1</w:t>
      </w:r>
      <w:r w:rsidR="00294A00">
        <w:rPr>
          <w:rFonts w:cs="Times New Roman"/>
          <w:b/>
          <w:bCs/>
          <w:lang w:val="ru-RU"/>
        </w:rPr>
        <w:t>85</w:t>
      </w:r>
      <w:r w:rsidR="00C2295D">
        <w:rPr>
          <w:rFonts w:cs="Times New Roman"/>
          <w:b/>
          <w:bCs/>
          <w:lang w:val="ru-RU"/>
        </w:rPr>
        <w:t xml:space="preserve">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2E66573D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B0349A">
        <w:rPr>
          <w:rFonts w:cs="Times New Roman"/>
          <w:b/>
          <w:bCs/>
          <w:lang w:val="ru-RU"/>
        </w:rPr>
        <w:t>1</w:t>
      </w:r>
      <w:r>
        <w:rPr>
          <w:rFonts w:cs="Times New Roman"/>
          <w:b/>
          <w:bCs/>
          <w:lang w:val="ru-RU"/>
        </w:rPr>
        <w:t xml:space="preserve"> года до </w:t>
      </w:r>
      <w:r w:rsidR="00B0349A">
        <w:rPr>
          <w:rFonts w:cs="Times New Roman"/>
          <w:b/>
          <w:bCs/>
          <w:lang w:val="ru-RU"/>
        </w:rPr>
        <w:t>3-х 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>1.1. Приемы специалистов</w:t>
            </w:r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B3D39" w:rsidRPr="00DC4CFC" w14:paraId="0FAC018E" w14:textId="77777777" w:rsidTr="00851F29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120DD815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9669" w14:textId="66DD4639" w:rsidR="00DB3D39" w:rsidRDefault="00DB3D39" w:rsidP="00DB3D39">
            <w:pPr>
              <w:pStyle w:val="af1"/>
              <w:spacing w:before="280" w:beforeAutospacing="0" w:after="280" w:afterAutospacing="0"/>
            </w:pPr>
            <w:r>
              <w:t>1</w:t>
            </w:r>
          </w:p>
        </w:tc>
      </w:tr>
      <w:tr w:rsidR="00DB3D39" w:rsidRPr="00DC4CFC" w14:paraId="31856DA5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382764E3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B88A2" w14:textId="79543497" w:rsidR="00DB3D39" w:rsidRDefault="00DB3D39" w:rsidP="00DB3D39">
            <w:pPr>
              <w:pStyle w:val="af1"/>
              <w:spacing w:before="280" w:beforeAutospacing="0" w:after="280" w:afterAutospacing="0"/>
            </w:pPr>
            <w:r>
              <w:t>2</w:t>
            </w:r>
          </w:p>
        </w:tc>
      </w:tr>
      <w:tr w:rsidR="00DB3D39" w:rsidRPr="00DC4CFC" w14:paraId="6FD915DB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5A562856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3A51" w14:textId="76D26B5F" w:rsidR="00DB3D39" w:rsidRDefault="00DB3D39" w:rsidP="00DB3D39">
            <w:pPr>
              <w:pStyle w:val="af1"/>
              <w:spacing w:before="280" w:beforeAutospacing="0" w:after="280" w:afterAutospacing="0"/>
            </w:pPr>
            <w:r>
              <w:t>10</w:t>
            </w:r>
          </w:p>
        </w:tc>
      </w:tr>
      <w:tr w:rsidR="00DB3D39" w:rsidRPr="00DC4CFC" w14:paraId="5407DD56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5EB597B2" w:rsidR="00DB3D39" w:rsidRDefault="00DB3D39" w:rsidP="00DB3D39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Прием (осмотр, консультация) врача-педиатра первичный, на дому в пределах</w:t>
            </w:r>
            <w:r w:rsidR="00AA73F4">
              <w:t xml:space="preserve"> </w:t>
            </w:r>
            <w:r w:rsidR="00294A00">
              <w:t>3</w:t>
            </w:r>
            <w:r w:rsidR="00AA73F4">
              <w:t>0 км от</w:t>
            </w:r>
            <w:r>
              <w:t xml:space="preserve">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F998" w14:textId="79A29C5B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6</w:t>
            </w:r>
          </w:p>
        </w:tc>
      </w:tr>
      <w:tr w:rsidR="00DB3D39" w:rsidRPr="00DC4CFC" w14:paraId="5E1BC23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2A429EA9" w:rsidR="00DB3D39" w:rsidRDefault="00DB3D39" w:rsidP="00DB3D39">
            <w:pPr>
              <w:jc w:val="center"/>
              <w:rPr>
                <w:rFonts w:cs="Times New Roman"/>
                <w:lang w:val="ru-RU"/>
              </w:rPr>
            </w:pPr>
            <w:r w:rsidRPr="006E20E5">
              <w:rPr>
                <w:lang w:val="ru-RU"/>
              </w:rP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D0" w14:textId="5B69A80E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8E5E9E" w14:paraId="3566DEEC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58CD7C28" w:rsidR="00DB3D39" w:rsidRDefault="00DB3D39" w:rsidP="00DB3D39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58A1" w14:textId="49FC7FF0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7144B372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5E20DE4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35805" w14:textId="7C48886B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7055A6D8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2DFD0CA9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846EB" w14:textId="5E272DD2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0EF8092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5FDB7D51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врача-психиатра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CE81" w14:textId="7A5B8245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1F173920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2638909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BFF1" w14:textId="648D4D1B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18C521B6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4521B7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03BC" w14:textId="2A2856F2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9</w:t>
            </w:r>
          </w:p>
        </w:tc>
      </w:tr>
      <w:tr w:rsidR="00DB3D39" w:rsidRPr="009F3D7C" w14:paraId="14E1840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701049BC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 xml:space="preserve">Медицинское обслуживание на дому медицинской сестрой в пределах </w:t>
            </w:r>
            <w:r w:rsidR="00294A00">
              <w:t>3</w:t>
            </w:r>
            <w:r w:rsidR="00AA73F4">
              <w:t xml:space="preserve">0 км от </w:t>
            </w:r>
            <w:r>
              <w:t>МКАД (без учета стоимости манипуляций)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6C8F" w14:textId="4C76C677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12</w:t>
            </w:r>
          </w:p>
        </w:tc>
      </w:tr>
      <w:tr w:rsidR="00DB3D39" w:rsidRPr="00DC4CFC" w14:paraId="73FD99FC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AC04999" w14:textId="5B700FC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1DD448E7" w14:textId="7B20F9C3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DB3D39" w:rsidRPr="00DC4CFC" w14:paraId="4E608DE5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751B1F16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B0E8" w14:textId="760913EF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DB3D39" w:rsidRPr="00DC4CFC" w14:paraId="0D01BF0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2C84733F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0C61" w14:textId="4584127C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518C8D7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70461339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349F" w14:textId="218B696D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DB3D39" w:rsidRPr="00DC4CFC" w14:paraId="4A28B88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9AE17" w14:textId="4B5C5BA8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88C3C" w14:textId="61B2351E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79F39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9769EDF" w14:textId="31350FE1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66B99E1C" w14:textId="7FE29D26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DB3D39" w:rsidRPr="00DC4CFC" w14:paraId="46B6F3D3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5BAEE807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3AC2" w14:textId="59BCFDD7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5E01BEDD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00844B6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Офтальмоскопия под мидриазом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773A" w14:textId="6D8F0190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13D57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3840D0BC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Исследование отоакустической эмиссии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13F4" w14:textId="6D434E03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3BFE59B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3989" w14:textId="2994953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FEA3" w14:textId="197B3F95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B3D39" w14:paraId="627C1DE1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3CEE" w14:textId="0D3FFE75" w:rsidR="009F3D7C" w:rsidRDefault="00DB3D39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массаж медицинский ребенку от 1 до 3 лет, 1 сеанс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45BC" w14:textId="1C5AAD56" w:rsidR="009F3D7C" w:rsidRPr="009F3D7C" w:rsidRDefault="00DB3D39" w:rsidP="009F3D7C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</w:tr>
      <w:tr w:rsidR="009F3D7C" w:rsidRPr="00DB3D39" w14:paraId="24A5E41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6215467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86A9" w14:textId="77B6C0C9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1EE381CA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lastRenderedPageBreak/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DB3D39">
        <w:rPr>
          <w:rFonts w:cs="Times New Roman"/>
          <w:b/>
          <w:bCs/>
          <w:iCs/>
          <w:sz w:val="28"/>
          <w:szCs w:val="28"/>
          <w:lang w:val="ru-RU"/>
        </w:rPr>
        <w:t>Премьер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от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>Медицинские услуги оказываются в соответствии с режимом работы Поликлиника.ру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EE3CC2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64CC5D9" w14:textId="3857E4B5" w:rsidR="00BC3F96" w:rsidRPr="00EE3CC2" w:rsidRDefault="00FB51E4" w:rsidP="00EE3CC2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 w:rsidRPr="00EE3CC2"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 w:rsidRPr="00EE3CC2"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bookmarkStart w:id="9" w:name="_Hlk414975341"/>
      <w:bookmarkEnd w:id="9"/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lastRenderedPageBreak/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0" w:name="_Hlk49354101"/>
      <w:bookmarkEnd w:id="10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1" w:name="_Hlk31705562"/>
      <w:bookmarkEnd w:id="11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0C2048"/>
    <w:rsid w:val="0011606C"/>
    <w:rsid w:val="00154163"/>
    <w:rsid w:val="00294A00"/>
    <w:rsid w:val="00300740"/>
    <w:rsid w:val="003B6C9A"/>
    <w:rsid w:val="00543516"/>
    <w:rsid w:val="005A66BA"/>
    <w:rsid w:val="005D5F23"/>
    <w:rsid w:val="00603B97"/>
    <w:rsid w:val="006E20E5"/>
    <w:rsid w:val="007E331A"/>
    <w:rsid w:val="00881D5C"/>
    <w:rsid w:val="008E5E9E"/>
    <w:rsid w:val="0095622D"/>
    <w:rsid w:val="009F3D7C"/>
    <w:rsid w:val="00A844D2"/>
    <w:rsid w:val="00AA73F4"/>
    <w:rsid w:val="00B0349A"/>
    <w:rsid w:val="00B866CB"/>
    <w:rsid w:val="00BC3F96"/>
    <w:rsid w:val="00BF2230"/>
    <w:rsid w:val="00C2295D"/>
    <w:rsid w:val="00CD363D"/>
    <w:rsid w:val="00DB3D39"/>
    <w:rsid w:val="00DC4CFC"/>
    <w:rsid w:val="00EB32B3"/>
    <w:rsid w:val="00EE3CC2"/>
    <w:rsid w:val="00F9381F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6</cp:revision>
  <cp:lastPrinted>2020-02-14T10:36:00Z</cp:lastPrinted>
  <dcterms:created xsi:type="dcterms:W3CDTF">2026-03-13T15:47:00Z</dcterms:created>
  <dcterms:modified xsi:type="dcterms:W3CDTF">2026-03-13T16:43:00Z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